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Rechtliche Arbeitsnotiz</w:t>
      </w:r>
    </w:p>
    <w:p>
      <w:r>
        <w:rPr>
          <w:i/>
          <w:sz w:val="20"/>
        </w:rPr>
        <w:t>Landgericht München I, Wirtschaftsstrafkammer 6 | Staatsanwaltschaft München I, 6 Js 9940/26</w:t>
      </w:r>
    </w:p>
    <w:p>
      <w:pPr>
        <w:pStyle w:val="Heading2"/>
      </w:pPr>
      <w:r>
        <w:t>Rechtlicher Einstieg</w:t>
      </w:r>
    </w:p>
    <w:p>
      <w:pPr>
        <w:spacing w:after="120" w:line="259" w:lineRule="auto"/>
      </w:pPr>
      <w:r>
        <w:t>Die Prüfung beginnt mit der Verfahrensrolle und dem konkreten Arbeitsprodukt: Haft, Einstellung, Schutzantrag, Anklageprüfung, Hauptverhandlung oder Rechtsmittel.</w:t>
      </w:r>
    </w:p>
    <w:p>
      <w:pPr>
        <w:spacing w:after="120" w:line="259" w:lineRule="auto"/>
      </w:pPr>
      <w:r>
        <w:t>Danach werden Tatbestandsmerkmale, subjektiver Tatbestand und Beweisbarkeit getrennt. Eine plausible Verteidigungslinie ersetzt keinen Beweiswertvergleich; eine plausible Anklagehypothese ersetzt keine Lückenanalyse.</w:t>
      </w:r>
    </w:p>
    <w:p>
      <w:pPr>
        <w:pStyle w:val="ListBullet"/>
      </w:pPr>
      <w:r>
        <w:t>Normanker: Paragraf 331 StGB, Paragraf 332 StGB, Paragraf 266 StGB, Paragraf 102 StPO, Paragraf 110 StPO.</w:t>
      </w:r>
    </w:p>
    <w:p>
      <w:pPr>
        <w:pStyle w:val="Heading2"/>
      </w:pPr>
      <w:r>
        <w:t>Arbeitsmatrix</w:t>
      </w:r>
    </w:p>
    <w:p>
      <w:pPr>
        <w:pStyle w:val="ListBullet"/>
      </w:pPr>
      <w:r>
        <w:t>Tatbestandsmerkmal: Welche konkrete Tatsache trägt es?</w:t>
      </w:r>
    </w:p>
    <w:p>
      <w:pPr>
        <w:pStyle w:val="ListBullet"/>
      </w:pPr>
      <w:r>
        <w:t>Beweismittel: Ist es original, vollständig, verwertbar und in sich konstant?</w:t>
      </w:r>
    </w:p>
    <w:p>
      <w:pPr>
        <w:pStyle w:val="ListBullet"/>
      </w:pPr>
      <w:r>
        <w:t>Gegenposition: Welches alternative Geschehen ist aktenkundig und nicht nur spekulativ?</w:t>
      </w:r>
    </w:p>
    <w:p>
      <w:pPr>
        <w:pStyle w:val="ListBullet"/>
      </w:pPr>
      <w:r>
        <w:t>Risiko: Welche Nebenfolge droht unabhängig vom Ausgang der Hauptsache?</w:t>
      </w:r>
    </w:p>
    <w:p>
      <w:pPr>
        <w:pStyle w:val="ListBullet"/>
      </w:pPr>
      <w:r>
        <w:t>Output: konkreter Antrag oder konkreter Entwurf, keine bloße Rechtsmeinung.</w:t>
      </w:r>
    </w:p>
    <w:p>
      <w:pPr>
        <w:pStyle w:val="Heading2"/>
      </w:pPr>
      <w:r>
        <w:t>Nächster Schritt</w:t>
      </w:r>
    </w:p>
    <w:p>
      <w:pPr>
        <w:spacing w:after="120" w:line="259" w:lineRule="auto"/>
      </w:pPr>
      <w:r>
        <w:t>Vergabematrix technisch nachrechnen, Vorteilsliste bewerten, dienstliche Zuständigkeit sauber abgrenzen und Stellungnahme ohne vorschnelle Freundschaftsrhetorik vorbereiten.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