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4"/>
        </w:rPr>
        <w:t>Mandatsnotiz Erstgespräch</w:t>
      </w:r>
    </w:p>
    <w:p>
      <w:r>
        <w:rPr>
          <w:i/>
          <w:sz w:val="20"/>
        </w:rPr>
        <w:t>Bundesgerichtshof über Landgericht Duisburg, 7 KLs 220 Js 1180/25 | Staatsanwaltschaft Duisburg, 220 Js 1180/25</w:t>
      </w:r>
    </w:p>
    <w:p>
      <w:pPr>
        <w:pStyle w:val="Heading2"/>
      </w:pPr>
      <w:r>
        <w:t>Mandatsziel</w:t>
      </w:r>
    </w:p>
    <w:p>
      <w:pPr>
        <w:spacing w:after="120" w:line="259" w:lineRule="auto"/>
      </w:pPr>
      <w:r>
        <w:t>Murat Candan, verurteilt wegen schweren Raubes benötigt eine schnelle, aber belastbare Einordnung der Lage. Der erste Schritt ist kein Rundumschlag, sondern die Sicherung der fristkritischen Punkte, die Trennung der Rollen und die Entscheidung, ob geschwiegen, vorgetragen oder ein Antrag gestellt wird.</w:t>
      </w:r>
    </w:p>
    <w:p>
      <w:pPr>
        <w:pStyle w:val="Heading2"/>
      </w:pPr>
      <w:r>
        <w:t>Sofortfragen</w:t>
      </w:r>
    </w:p>
    <w:p>
      <w:pPr>
        <w:pStyle w:val="ListBullet"/>
      </w:pPr>
      <w:r>
        <w:t>Welche Frist läuft tatsächlich und wodurch wurde sie ausgelöst?</w:t>
      </w:r>
    </w:p>
    <w:p>
      <w:pPr>
        <w:pStyle w:val="ListBullet"/>
      </w:pPr>
      <w:r>
        <w:t>Welche Originaldaten fehlen noch und wer besitzt sie?</w:t>
      </w:r>
    </w:p>
    <w:p>
      <w:pPr>
        <w:pStyle w:val="ListBullet"/>
      </w:pPr>
      <w:r>
        <w:t>Welche Einlassung ist bereits aktenkundig oder faktisch erfolgt?</w:t>
      </w:r>
    </w:p>
    <w:p>
      <w:pPr>
        <w:pStyle w:val="ListBullet"/>
      </w:pPr>
      <w:r>
        <w:t>Welche Nebenfolge droht sofort praktisch zu wirken?</w:t>
      </w:r>
    </w:p>
    <w:p>
      <w:pPr>
        <w:spacing w:after="120" w:line="259" w:lineRule="auto"/>
      </w:pPr>
      <w:r>
        <w:t>Revisionsbegründung mit vollständiger Verfahrensrüge finalisieren, Protokollberichtigung beobachten und Sachrüge als Auffangnetz knapp, aber tragfähig formulieren.</w:t>
      </w:r>
    </w:p>
    <w:p>
      <w:pPr>
        <w:pStyle w:val="Heading2"/>
      </w:pPr>
      <w:r>
        <w:t>Beteiligte</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t>Punkt</w:t>
            </w:r>
          </w:p>
        </w:tc>
        <w:tc>
          <w:tcPr>
            <w:tcW w:type="dxa" w:w="4986"/>
          </w:tcPr>
          <w:p>
            <w:r>
              <w:rPr>
                <w:b/>
              </w:rPr>
              <w:t>Inhalt</w:t>
            </w:r>
          </w:p>
        </w:tc>
      </w:tr>
      <w:tr>
        <w:tc>
          <w:tcPr>
            <w:tcW w:type="dxa" w:w="4986"/>
            <w:vAlign w:val="top"/>
          </w:tcPr>
          <w:p>
            <w:r>
              <w:t>Beschuldigte oder betroffene Person</w:t>
            </w:r>
          </w:p>
        </w:tc>
        <w:tc>
          <w:tcPr>
            <w:tcW w:type="dxa" w:w="4986"/>
            <w:vAlign w:val="top"/>
          </w:tcPr>
          <w:p>
            <w:r>
              <w:t>Murat Candan</w:t>
            </w:r>
          </w:p>
        </w:tc>
      </w:tr>
      <w:tr>
        <w:tc>
          <w:tcPr>
            <w:tcW w:type="dxa" w:w="4986"/>
            <w:vAlign w:val="top"/>
          </w:tcPr>
          <w:p>
            <w:r>
              <w:t>Mandatsbezug</w:t>
            </w:r>
          </w:p>
        </w:tc>
        <w:tc>
          <w:tcPr>
            <w:tcW w:type="dxa" w:w="4986"/>
            <w:vAlign w:val="top"/>
          </w:tcPr>
          <w:p>
            <w:r>
              <w:t>Murat Candan, verurteilt wegen schweren Raubes</w:t>
            </w:r>
          </w:p>
        </w:tc>
      </w:tr>
      <w:tr>
        <w:tc>
          <w:tcPr>
            <w:tcW w:type="dxa" w:w="4986"/>
            <w:vAlign w:val="top"/>
          </w:tcPr>
          <w:p>
            <w:r>
              <w:t>Gericht</w:t>
            </w:r>
          </w:p>
        </w:tc>
        <w:tc>
          <w:tcPr>
            <w:tcW w:type="dxa" w:w="4986"/>
            <w:vAlign w:val="top"/>
          </w:tcPr>
          <w:p>
            <w:r>
              <w:t>Bundesgerichtshof über Landgericht Duisburg, 7 KLs 220 Js 1180/25</w:t>
            </w:r>
          </w:p>
        </w:tc>
      </w:tr>
      <w:tr>
        <w:tc>
          <w:tcPr>
            <w:tcW w:type="dxa" w:w="4986"/>
            <w:vAlign w:val="top"/>
          </w:tcPr>
          <w:p>
            <w:r>
              <w:t>Staatsanwaltschaft</w:t>
            </w:r>
          </w:p>
        </w:tc>
        <w:tc>
          <w:tcPr>
            <w:tcW w:type="dxa" w:w="4986"/>
            <w:vAlign w:val="top"/>
          </w:tcPr>
          <w:p>
            <w:r>
              <w:t>Staatsanwaltschaft Duisburg, 220 Js 1180/25</w:t>
            </w:r>
          </w:p>
        </w:tc>
      </w:tr>
      <w:tr>
        <w:tc>
          <w:tcPr>
            <w:tcW w:type="dxa" w:w="4986"/>
            <w:vAlign w:val="top"/>
          </w:tcPr>
          <w:p>
            <w:r>
              <w:t>Verteidigung oder Vertretung</w:t>
            </w:r>
          </w:p>
        </w:tc>
        <w:tc>
          <w:tcPr>
            <w:tcW w:type="dxa" w:w="4986"/>
            <w:vAlign w:val="top"/>
          </w:tcPr>
          <w:p>
            <w:r>
              <w:t>RA Dr. Enno Falkenberg, Essen</w:t>
            </w:r>
          </w:p>
        </w:tc>
      </w:tr>
    </w:tbl>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