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Duisburg, 220 Js 1180/25 führt die Sache derzeit mit Schwerpunkt auf: Verurteilung wegen schweren Raubes; Revision mit Verfahrens- und Sachrüge; Beweisantragsablehnung nach Paragraf 244 StPO.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Beweisantrag</w:t>
            </w:r>
          </w:p>
        </w:tc>
        <w:tc>
          <w:tcPr>
            <w:tcW w:type="dxa" w:w="2493"/>
            <w:vAlign w:val="top"/>
          </w:tcPr>
          <w:p>
            <w:r>
              <w:t>Schriftsatz Verteidigung</w:t>
            </w:r>
          </w:p>
        </w:tc>
        <w:tc>
          <w:tcPr>
            <w:tcW w:type="dxa" w:w="2493"/>
            <w:vAlign w:val="top"/>
          </w:tcPr>
          <w:p>
            <w:r>
              <w:t>konkretes Alibi</w:t>
            </w:r>
          </w:p>
        </w:tc>
        <w:tc>
          <w:tcPr>
            <w:tcW w:type="dxa" w:w="2493"/>
            <w:vAlign w:val="top"/>
          </w:tcPr>
          <w:p>
            <w:r>
              <w:t>Protokollwortlaut verkürzt</w:t>
            </w:r>
          </w:p>
        </w:tc>
      </w:tr>
      <w:tr>
        <w:tc>
          <w:tcPr>
            <w:tcW w:type="dxa" w:w="2493"/>
            <w:vAlign w:val="top"/>
          </w:tcPr>
          <w:p>
            <w:r>
              <w:t>Urteilsgründe</w:t>
            </w:r>
          </w:p>
        </w:tc>
        <w:tc>
          <w:tcPr>
            <w:tcW w:type="dxa" w:w="2493"/>
            <w:vAlign w:val="top"/>
          </w:tcPr>
          <w:p>
            <w:r>
              <w:t>LG Duisburg</w:t>
            </w:r>
          </w:p>
        </w:tc>
        <w:tc>
          <w:tcPr>
            <w:tcW w:type="dxa" w:w="2493"/>
            <w:vAlign w:val="top"/>
          </w:tcPr>
          <w:p>
            <w:r>
              <w:t>knappe Ablehnung</w:t>
            </w:r>
          </w:p>
        </w:tc>
        <w:tc>
          <w:tcPr>
            <w:tcW w:type="dxa" w:w="2493"/>
            <w:vAlign w:val="top"/>
          </w:tcPr>
          <w:p>
            <w:r>
              <w:t>keine Vernehmung Taxifahrer</w:t>
            </w:r>
          </w:p>
        </w:tc>
      </w:tr>
      <w:tr>
        <w:tc>
          <w:tcPr>
            <w:tcW w:type="dxa" w:w="2493"/>
            <w:vAlign w:val="top"/>
          </w:tcPr>
          <w:p>
            <w:r>
              <w:t>Taxi-App-Export</w:t>
            </w:r>
          </w:p>
        </w:tc>
        <w:tc>
          <w:tcPr>
            <w:tcW w:type="dxa" w:w="2493"/>
            <w:vAlign w:val="top"/>
          </w:tcPr>
          <w:p>
            <w:r>
              <w:t>Fahrtenliste Nowak</w:t>
            </w:r>
          </w:p>
        </w:tc>
        <w:tc>
          <w:tcPr>
            <w:tcW w:type="dxa" w:w="2493"/>
            <w:vAlign w:val="top"/>
          </w:tcPr>
          <w:p>
            <w:r>
              <w:t>Fahrt Bahnhof zur Tatzeit</w:t>
            </w:r>
          </w:p>
        </w:tc>
        <w:tc>
          <w:tcPr>
            <w:tcW w:type="dxa" w:w="2493"/>
            <w:vAlign w:val="top"/>
          </w:tcPr>
          <w:p>
            <w:r>
              <w:t>GPS-Genauigkeit begrenzt</w:t>
            </w:r>
          </w:p>
        </w:tc>
      </w:tr>
      <w:tr>
        <w:tc>
          <w:tcPr>
            <w:tcW w:type="dxa" w:w="2493"/>
            <w:vAlign w:val="top"/>
          </w:tcPr>
          <w:p>
            <w:r>
              <w:t>Video Getränkemarkt</w:t>
            </w:r>
          </w:p>
        </w:tc>
        <w:tc>
          <w:tcPr>
            <w:tcW w:type="dxa" w:w="2493"/>
            <w:vAlign w:val="top"/>
          </w:tcPr>
          <w:p>
            <w:r>
              <w:t>Kamera 2</w:t>
            </w:r>
          </w:p>
        </w:tc>
        <w:tc>
          <w:tcPr>
            <w:tcW w:type="dxa" w:w="2493"/>
            <w:vAlign w:val="top"/>
          </w:tcPr>
          <w:p>
            <w:r>
              <w:t>Tätergröße ungefähr passend</w:t>
            </w:r>
          </w:p>
        </w:tc>
        <w:tc>
          <w:tcPr>
            <w:tcW w:type="dxa" w:w="2493"/>
            <w:vAlign w:val="top"/>
          </w:tcPr>
          <w:p>
            <w:r>
              <w:t>Gesicht unscharf</w:t>
            </w:r>
          </w:p>
        </w:tc>
      </w:tr>
      <w:tr>
        <w:tc>
          <w:tcPr>
            <w:tcW w:type="dxa" w:w="2493"/>
            <w:vAlign w:val="top"/>
          </w:tcPr>
          <w:p>
            <w:r>
              <w:t>Mitangeklagter</w:t>
            </w:r>
          </w:p>
        </w:tc>
        <w:tc>
          <w:tcPr>
            <w:tcW w:type="dxa" w:w="2493"/>
            <w:vAlign w:val="top"/>
          </w:tcPr>
          <w:p>
            <w:r>
              <w:t>Belastungszeuge</w:t>
            </w:r>
          </w:p>
        </w:tc>
        <w:tc>
          <w:tcPr>
            <w:tcW w:type="dxa" w:w="2493"/>
            <w:vAlign w:val="top"/>
          </w:tcPr>
          <w:p>
            <w:r>
              <w:t>direkte Belastung</w:t>
            </w:r>
          </w:p>
        </w:tc>
        <w:tc>
          <w:tcPr>
            <w:tcW w:type="dxa" w:w="2493"/>
            <w:vAlign w:val="top"/>
          </w:tcPr>
          <w:p>
            <w:r>
              <w:t>Kronzeugeninteresse möglich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244 StPO</w:t>
      </w:r>
    </w:p>
    <w:p>
      <w:pPr>
        <w:pStyle w:val="ListBullet"/>
      </w:pPr>
      <w:r>
        <w:t>Paragraf 344 StPO</w:t>
      </w:r>
    </w:p>
    <w:p>
      <w:pPr>
        <w:pStyle w:val="ListBullet"/>
      </w:pPr>
      <w:r>
        <w:t>Paragraf 345 StPO</w:t>
      </w:r>
    </w:p>
    <w:p>
      <w:pPr>
        <w:pStyle w:val="ListBullet"/>
      </w:pPr>
      <w:r>
        <w:t>Paragraf 261 StPO</w:t>
      </w:r>
    </w:p>
    <w:p>
      <w:pPr>
        <w:pStyle w:val="ListBullet"/>
      </w:pPr>
      <w:r>
        <w:t>Paragraf 337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