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Bundesgerichtshof über Landgericht Duisburg, 7 KLs 220 Js 1180/25 | Staatsanwaltschaft Duisburg, 220 Js 1180/25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244 StPO, Paragraf 344 StPO, Paragraf 345 StPO, Paragraf 261 StPO, Paragraf 337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Revisionsbegründung mit vollständiger Verfahrensrüge finalisieren, Protokollberichtigung beobachten und Sachrüge als Auffangnetz knapp, aber tragfähig formulieren.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