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Landgericht Mainz, Jugend- und Schutzkammer 3 | Staatsanwaltschaft Mainz, 3 Js 3081/26</w:t>
      </w:r>
    </w:p>
    <w:p>
      <w:pPr>
        <w:pStyle w:val="Heading2"/>
      </w:pPr>
      <w:r>
        <w:t>Arbeitsfassung Sachverhalt</w:t>
      </w:r>
    </w:p>
    <w:p>
      <w:pPr>
        <w:spacing w:after="120" w:line="259" w:lineRule="auto"/>
      </w:pPr>
      <w:r>
        <w:t>Leonie Hartmann schildert einen nicht einvernehmlichen Übergriff nach einer Feier in der Wohnung einer gemeinsamen Bekannten. Sie berichtet, sie habe mehrmals ausdrücklich Nein gesagt und die Wohnung später weinend verlassen. Der Beschuldigte David Reimers behauptet über seinen Verteidiger, es habe einvernehmliche Annäherungen gegeben und die Situation sei nach einem Streit über eine frühere Beziehung umgedeutet worden.</w:t>
      </w:r>
    </w:p>
    <w:p>
      <w:pPr>
        <w:spacing w:after="120" w:line="259" w:lineRule="auto"/>
      </w:pPr>
      <w:r>
        <w:t>Unmittelbar nach dem Vorfall schrieb Leonie ihrer Freundin Amira mehrere Sprachnachrichten. Diese liegen als Transkript vor. Medizinische Spuren sind unspezifisch; der ärztliche Bericht dokumentiert Belastungssymptome, aber keine eindeutigen Verletzungen. Der Chatverlauf der Wochen zuvor enthält freundliche, teilweise flirtende Nachrichten, nach dem Vorfall aber einen abrupten Abbruch.</w:t>
      </w:r>
    </w:p>
    <w:p>
      <w:pPr>
        <w:spacing w:after="120" w:line="259" w:lineRule="auto"/>
      </w:pPr>
      <w:r>
        <w:t>Die Akte verlangt besonders präzise, schonende und ergebnisoffene Arbeit: Aussageentstehung, Aussagekonstanz, Belastungsmotive, Schutzrechte, Beweisaufnahme und mögliche sachverständige Unterstützung müssen getrennt werden. Keine Aktennotiz enthält eine Vorentscheidung über Glaubhaftigkeit.</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31.03.2026</w:t>
            </w:r>
          </w:p>
        </w:tc>
        <w:tc>
          <w:tcPr>
            <w:tcW w:type="dxa" w:w="4986"/>
            <w:vAlign w:val="top"/>
          </w:tcPr>
          <w:p>
            <w:r>
              <w:t>gemeinsamer Besuch einer privaten Geburtstagsfeier</w:t>
            </w:r>
          </w:p>
        </w:tc>
      </w:tr>
      <w:tr>
        <w:tc>
          <w:tcPr>
            <w:tcW w:type="dxa" w:w="4986"/>
            <w:vAlign w:val="top"/>
          </w:tcPr>
          <w:p>
            <w:r>
              <w:t>01.04.2026</w:t>
            </w:r>
          </w:p>
        </w:tc>
        <w:tc>
          <w:tcPr>
            <w:tcW w:type="dxa" w:w="4986"/>
            <w:vAlign w:val="top"/>
          </w:tcPr>
          <w:p>
            <w:r>
              <w:t>erste Nachricht der Geschädigten an Freundin mit Schilderung</w:t>
            </w:r>
          </w:p>
        </w:tc>
      </w:tr>
      <w:tr>
        <w:tc>
          <w:tcPr>
            <w:tcW w:type="dxa" w:w="4986"/>
            <w:vAlign w:val="top"/>
          </w:tcPr>
          <w:p>
            <w:r>
              <w:t>03.04.2026</w:t>
            </w:r>
          </w:p>
        </w:tc>
        <w:tc>
          <w:tcPr>
            <w:tcW w:type="dxa" w:w="4986"/>
            <w:vAlign w:val="top"/>
          </w:tcPr>
          <w:p>
            <w:r>
              <w:t>ärztliche Untersuchung und psychosoziale Beratung</w:t>
            </w:r>
          </w:p>
        </w:tc>
      </w:tr>
      <w:tr>
        <w:tc>
          <w:tcPr>
            <w:tcW w:type="dxa" w:w="4986"/>
            <w:vAlign w:val="top"/>
          </w:tcPr>
          <w:p>
            <w:r>
              <w:t>14.04.2026</w:t>
            </w:r>
          </w:p>
        </w:tc>
        <w:tc>
          <w:tcPr>
            <w:tcW w:type="dxa" w:w="4986"/>
            <w:vAlign w:val="top"/>
          </w:tcPr>
          <w:p>
            <w:r>
              <w:t>polizeiliche Vernehmung der Geschädigten</w:t>
            </w:r>
          </w:p>
        </w:tc>
      </w:tr>
      <w:tr>
        <w:tc>
          <w:tcPr>
            <w:tcW w:type="dxa" w:w="4986"/>
            <w:vAlign w:val="top"/>
          </w:tcPr>
          <w:p>
            <w:r>
              <w:t>22.05.2026</w:t>
            </w:r>
          </w:p>
        </w:tc>
        <w:tc>
          <w:tcPr>
            <w:tcW w:type="dxa" w:w="4986"/>
            <w:vAlign w:val="top"/>
          </w:tcPr>
          <w:p>
            <w:r>
              <w:t>Beschuldigtenvernehmung über Verteidigung abgelehnt</w:t>
            </w:r>
          </w:p>
        </w:tc>
      </w:tr>
      <w:tr>
        <w:tc>
          <w:tcPr>
            <w:tcW w:type="dxa" w:w="4986"/>
            <w:vAlign w:val="top"/>
          </w:tcPr>
          <w:p>
            <w:r>
              <w:t>09.09.2026</w:t>
            </w:r>
          </w:p>
        </w:tc>
        <w:tc>
          <w:tcPr>
            <w:tcW w:type="dxa" w:w="4986"/>
            <w:vAlign w:val="top"/>
          </w:tcPr>
          <w:p>
            <w:r>
              <w:t>Hauptverhandlung noch nicht terminiert; Schutzanträge vorzubereiten</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