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Ermittlungsakte Auszüge und Beweislage</w:t>
      </w:r>
    </w:p>
    <w:p>
      <w:r>
        <w:rPr>
          <w:i/>
          <w:sz w:val="20"/>
        </w:rPr>
        <w:t>Landgericht Mainz, Jugend- und Schutzkammer 3 | Staatsanwaltschaft Mainz, 3 Js 3081/26</w:t>
      </w:r>
    </w:p>
    <w:p>
      <w:pPr>
        <w:pStyle w:val="Heading2"/>
      </w:pPr>
      <w:r>
        <w:t>Aktenauszug</w:t>
      </w:r>
    </w:p>
    <w:p>
      <w:pPr>
        <w:spacing w:after="120" w:line="259" w:lineRule="auto"/>
      </w:pPr>
      <w:r>
        <w:t>Staatsanwaltschaft Mainz, 3 Js 3081/26 führt die Sache derzeit mit Schwerpunkt auf: sexueller Übergriff nach Paragraf 177 StGB; Aussage-gegen-Aussage-Konstellation; Nebenklage- und psychosoziale Prozessbegleitungsfragen.</w:t>
      </w:r>
    </w:p>
    <w:p>
      <w:pPr>
        <w:spacing w:after="120" w:line="259" w:lineRule="auto"/>
      </w:pPr>
      <w:r>
        <w:t>Die Ermittlungsakte enthält bereits mehrere belastende Indizien, aber bei einzelnen Beweismitteln fehlen Rohdaten, Sicherungsvermerke oder Anschlussvernehmungen.</w:t>
      </w:r>
    </w:p>
    <w:p>
      <w:pPr>
        <w:spacing w:after="120" w:line="259" w:lineRule="auto"/>
      </w:pPr>
      <w:r>
        <w:t>Für eine gerichtsfeste Bearbeitung müssen Blattstellen, Dateiherkunft und Beweisrichtung nachgetragen werden. Jede spätere Stellungnahme sollte sichtbar machen, was bewiesen ist, was nur behauptet wird und was noch aufgeklärt werden muss.</w:t>
      </w:r>
    </w:p>
    <w:p>
      <w:pPr>
        <w:pStyle w:val="Heading2"/>
      </w:pPr>
      <w:r>
        <w:t>Beweismittelübersicht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Spalte 1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2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3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4</w:t>
            </w:r>
          </w:p>
        </w:tc>
      </w:tr>
      <w:tr>
        <w:tc>
          <w:tcPr>
            <w:tcW w:type="dxa" w:w="2493"/>
            <w:vAlign w:val="top"/>
          </w:tcPr>
          <w:p>
            <w:r>
              <w:t>Sprachnachrichten Amira</w:t>
            </w:r>
          </w:p>
        </w:tc>
        <w:tc>
          <w:tcPr>
            <w:tcW w:type="dxa" w:w="2493"/>
            <w:vAlign w:val="top"/>
          </w:tcPr>
          <w:p>
            <w:r>
              <w:t>Transkript 01.04.2026</w:t>
            </w:r>
          </w:p>
        </w:tc>
        <w:tc>
          <w:tcPr>
            <w:tcW w:type="dxa" w:w="2493"/>
            <w:vAlign w:val="top"/>
          </w:tcPr>
          <w:p>
            <w:r>
              <w:t>frühe Belastungsschilderung</w:t>
            </w:r>
          </w:p>
        </w:tc>
        <w:tc>
          <w:tcPr>
            <w:tcW w:type="dxa" w:w="2493"/>
            <w:vAlign w:val="top"/>
          </w:tcPr>
          <w:p>
            <w:r>
              <w:t>emotional und fragmentarisch</w:t>
            </w:r>
          </w:p>
        </w:tc>
      </w:tr>
      <w:tr>
        <w:tc>
          <w:tcPr>
            <w:tcW w:type="dxa" w:w="2493"/>
            <w:vAlign w:val="top"/>
          </w:tcPr>
          <w:p>
            <w:r>
              <w:t>ärztlicher Bericht</w:t>
            </w:r>
          </w:p>
        </w:tc>
        <w:tc>
          <w:tcPr>
            <w:tcW w:type="dxa" w:w="2493"/>
            <w:vAlign w:val="top"/>
          </w:tcPr>
          <w:p>
            <w:r>
              <w:t>Universitätsmedizin Mainz</w:t>
            </w:r>
          </w:p>
        </w:tc>
        <w:tc>
          <w:tcPr>
            <w:tcW w:type="dxa" w:w="2493"/>
            <w:vAlign w:val="top"/>
          </w:tcPr>
          <w:p>
            <w:r>
              <w:t>Belastungsreaktion dokumentiert</w:t>
            </w:r>
          </w:p>
        </w:tc>
        <w:tc>
          <w:tcPr>
            <w:tcW w:type="dxa" w:w="2493"/>
            <w:vAlign w:val="top"/>
          </w:tcPr>
          <w:p>
            <w:r>
              <w:t>keine eindeutigen Verletzungen</w:t>
            </w:r>
          </w:p>
        </w:tc>
      </w:tr>
      <w:tr>
        <w:tc>
          <w:tcPr>
            <w:tcW w:type="dxa" w:w="2493"/>
            <w:vAlign w:val="top"/>
          </w:tcPr>
          <w:p>
            <w:r>
              <w:t>Chatverlauf</w:t>
            </w:r>
          </w:p>
        </w:tc>
        <w:tc>
          <w:tcPr>
            <w:tcW w:type="dxa" w:w="2493"/>
            <w:vAlign w:val="top"/>
          </w:tcPr>
          <w:p>
            <w:r>
              <w:t>WhatsApp März bis April</w:t>
            </w:r>
          </w:p>
        </w:tc>
        <w:tc>
          <w:tcPr>
            <w:tcW w:type="dxa" w:w="2493"/>
            <w:vAlign w:val="top"/>
          </w:tcPr>
          <w:p>
            <w:r>
              <w:t>Abbruch nach Vorfall</w:t>
            </w:r>
          </w:p>
        </w:tc>
        <w:tc>
          <w:tcPr>
            <w:tcW w:type="dxa" w:w="2493"/>
            <w:vAlign w:val="top"/>
          </w:tcPr>
          <w:p>
            <w:r>
              <w:t>vorher freundlicher Kontakt</w:t>
            </w:r>
          </w:p>
        </w:tc>
      </w:tr>
      <w:tr>
        <w:tc>
          <w:tcPr>
            <w:tcW w:type="dxa" w:w="2493"/>
            <w:vAlign w:val="top"/>
          </w:tcPr>
          <w:p>
            <w:r>
              <w:t>Gastgeberin Paula M.</w:t>
            </w:r>
          </w:p>
        </w:tc>
        <w:tc>
          <w:tcPr>
            <w:tcW w:type="dxa" w:w="2493"/>
            <w:vAlign w:val="top"/>
          </w:tcPr>
          <w:p>
            <w:r>
              <w:t>Zeugin</w:t>
            </w:r>
          </w:p>
        </w:tc>
        <w:tc>
          <w:tcPr>
            <w:tcW w:type="dxa" w:w="2493"/>
            <w:vAlign w:val="top"/>
          </w:tcPr>
          <w:p>
            <w:r>
              <w:t>sah Leonie später weinen</w:t>
            </w:r>
          </w:p>
        </w:tc>
        <w:tc>
          <w:tcPr>
            <w:tcW w:type="dxa" w:w="2493"/>
            <w:vAlign w:val="top"/>
          </w:tcPr>
          <w:p>
            <w:r>
              <w:t>Vorfall selbst nicht gesehen</w:t>
            </w:r>
          </w:p>
        </w:tc>
      </w:tr>
      <w:tr>
        <w:tc>
          <w:tcPr>
            <w:tcW w:type="dxa" w:w="2493"/>
            <w:vAlign w:val="top"/>
          </w:tcPr>
          <w:p>
            <w:r>
              <w:t>Einlassungsankündigung</w:t>
            </w:r>
          </w:p>
        </w:tc>
        <w:tc>
          <w:tcPr>
            <w:tcW w:type="dxa" w:w="2493"/>
            <w:vAlign w:val="top"/>
          </w:tcPr>
          <w:p>
            <w:r>
              <w:t>Verteidigung Reimers</w:t>
            </w:r>
          </w:p>
        </w:tc>
        <w:tc>
          <w:tcPr>
            <w:tcW w:type="dxa" w:w="2493"/>
            <w:vAlign w:val="top"/>
          </w:tcPr>
          <w:p>
            <w:r>
              <w:t>bestreitet fehlendes Einverständnis</w:t>
            </w:r>
          </w:p>
        </w:tc>
        <w:tc>
          <w:tcPr>
            <w:tcW w:type="dxa" w:w="2493"/>
            <w:vAlign w:val="top"/>
          </w:tcPr>
          <w:p>
            <w:r>
              <w:t>keine eigene Detailversion</w:t>
            </w:r>
          </w:p>
        </w:tc>
      </w:tr>
    </w:tbl>
    <w:p/>
    <w:p>
      <w:pPr>
        <w:pStyle w:val="Heading2"/>
      </w:pPr>
      <w:r>
        <w:t>Normanker</w:t>
      </w:r>
    </w:p>
    <w:p>
      <w:pPr>
        <w:pStyle w:val="ListBullet"/>
      </w:pPr>
      <w:r>
        <w:t>Paragraf 177 StGB</w:t>
      </w:r>
    </w:p>
    <w:p>
      <w:pPr>
        <w:pStyle w:val="ListBullet"/>
      </w:pPr>
      <w:r>
        <w:t>Paragraf 395 StPO</w:t>
      </w:r>
    </w:p>
    <w:p>
      <w:pPr>
        <w:pStyle w:val="ListBullet"/>
      </w:pPr>
      <w:r>
        <w:t>Paragraf 406g StPO</w:t>
      </w:r>
    </w:p>
    <w:p>
      <w:pPr>
        <w:pStyle w:val="ListBullet"/>
      </w:pPr>
      <w:r>
        <w:t>Paragraf 247 StPO</w:t>
      </w:r>
    </w:p>
    <w:p>
      <w:pPr>
        <w:pStyle w:val="ListBullet"/>
      </w:pPr>
      <w:r>
        <w:t>Paragraf 244 StPO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