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Mainz, Jugend- und Schutzkammer 3 | Staatsanwaltschaft Mainz, 3 Js 3081/26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177 StGB, Paragraf 395 StPO, Paragraf 406g StPO, Paragraf 247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Nebenklageanschluss, Schutzanträge, behutsame Vorbereitung der Vernehmung und Antrag auf Sicherung der Original-Sprachnachrichten samt Metadaten.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