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Mainz, Jugend- und Schutzkammer 3 | Staatsanwaltschaft Mainz, 3 Js 3081/26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Nebenklageanschluss, Schutzanträge, behutsame Vorbereitung der Vernehmung und Antrag auf Sicherung der Original-Sprachnachrichten samt Metadaten.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Mainz, 3 Js 3081/26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