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Hannover, 312 Js 5020/26 führt die Sache derzeit mit Schwerpunkt auf: Nachstellung nach Paragraf 238 StGB; Verstoß gegen Kontaktverbot als Folgerisiko; Daten- und Kommunikationsspuren als Beweiskern.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GPS-Tracker</w:t>
            </w:r>
          </w:p>
        </w:tc>
        <w:tc>
          <w:tcPr>
            <w:tcW w:type="dxa" w:w="2493"/>
            <w:vAlign w:val="top"/>
          </w:tcPr>
          <w:p>
            <w:r>
              <w:t>Werkstatt Autohaus Leinau</w:t>
            </w:r>
          </w:p>
        </w:tc>
        <w:tc>
          <w:tcPr>
            <w:tcW w:type="dxa" w:w="2493"/>
            <w:vAlign w:val="top"/>
          </w:tcPr>
          <w:p>
            <w:r>
              <w:t>Gerät am Fahrzeug gefunden</w:t>
            </w:r>
          </w:p>
        </w:tc>
        <w:tc>
          <w:tcPr>
            <w:tcW w:type="dxa" w:w="2493"/>
            <w:vAlign w:val="top"/>
          </w:tcPr>
          <w:p>
            <w:r>
              <w:t>Fingerabdrücke unergiebig</w:t>
            </w:r>
          </w:p>
        </w:tc>
      </w:tr>
      <w:tr>
        <w:tc>
          <w:tcPr>
            <w:tcW w:type="dxa" w:w="2493"/>
            <w:vAlign w:val="top"/>
          </w:tcPr>
          <w:p>
            <w:r>
              <w:t>Screenshots Profile</w:t>
            </w:r>
          </w:p>
        </w:tc>
        <w:tc>
          <w:tcPr>
            <w:tcW w:type="dxa" w:w="2493"/>
            <w:vAlign w:val="top"/>
          </w:tcPr>
          <w:p>
            <w:r>
              <w:t>Instagram und Messenger</w:t>
            </w:r>
          </w:p>
        </w:tc>
        <w:tc>
          <w:tcPr>
            <w:tcW w:type="dxa" w:w="2493"/>
            <w:vAlign w:val="top"/>
          </w:tcPr>
          <w:p>
            <w:r>
              <w:t>nicht öffentliches Urlaubsfoto</w:t>
            </w:r>
          </w:p>
        </w:tc>
        <w:tc>
          <w:tcPr>
            <w:tcW w:type="dxa" w:w="2493"/>
            <w:vAlign w:val="top"/>
          </w:tcPr>
          <w:p>
            <w:r>
              <w:t>Accountinhaber noch offen</w:t>
            </w:r>
          </w:p>
        </w:tc>
      </w:tr>
      <w:tr>
        <w:tc>
          <w:tcPr>
            <w:tcW w:type="dxa" w:w="2493"/>
            <w:vAlign w:val="top"/>
          </w:tcPr>
          <w:p>
            <w:r>
              <w:t>SIM-Karten-Daten</w:t>
            </w:r>
          </w:p>
        </w:tc>
        <w:tc>
          <w:tcPr>
            <w:tcW w:type="dxa" w:w="2493"/>
            <w:vAlign w:val="top"/>
          </w:tcPr>
          <w:p>
            <w:r>
              <w:t>Prepaid-Provider</w:t>
            </w:r>
          </w:p>
        </w:tc>
        <w:tc>
          <w:tcPr>
            <w:tcW w:type="dxa" w:w="2493"/>
            <w:vAlign w:val="top"/>
          </w:tcPr>
          <w:p>
            <w:r>
              <w:t>Bewegungsmuster</w:t>
            </w:r>
          </w:p>
        </w:tc>
        <w:tc>
          <w:tcPr>
            <w:tcW w:type="dxa" w:w="2493"/>
            <w:vAlign w:val="top"/>
          </w:tcPr>
          <w:p>
            <w:r>
              <w:t>Käufer nicht identifiziert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Schwester</w:t>
            </w:r>
          </w:p>
        </w:tc>
        <w:tc>
          <w:tcPr>
            <w:tcW w:type="dxa" w:w="2493"/>
            <w:vAlign w:val="top"/>
          </w:tcPr>
          <w:p>
            <w:r>
              <w:t>Maja Wienholt</w:t>
            </w:r>
          </w:p>
        </w:tc>
        <w:tc>
          <w:tcPr>
            <w:tcW w:type="dxa" w:w="2493"/>
            <w:vAlign w:val="top"/>
          </w:tcPr>
          <w:p>
            <w:r>
              <w:t>Angst und Ausweichwohnung</w:t>
            </w:r>
          </w:p>
        </w:tc>
        <w:tc>
          <w:tcPr>
            <w:tcW w:type="dxa" w:w="2493"/>
            <w:vAlign w:val="top"/>
          </w:tcPr>
          <w:p>
            <w:r>
              <w:t>keine unmittelbare Tatwahrnehmung</w:t>
            </w:r>
          </w:p>
        </w:tc>
      </w:tr>
      <w:tr>
        <w:tc>
          <w:tcPr>
            <w:tcW w:type="dxa" w:w="2493"/>
            <w:vAlign w:val="top"/>
          </w:tcPr>
          <w:p>
            <w:r>
              <w:t>Gefährderansprache</w:t>
            </w:r>
          </w:p>
        </w:tc>
        <w:tc>
          <w:tcPr>
            <w:tcW w:type="dxa" w:w="2493"/>
            <w:vAlign w:val="top"/>
          </w:tcPr>
          <w:p>
            <w:r>
              <w:t>Polizei Hannover</w:t>
            </w:r>
          </w:p>
        </w:tc>
        <w:tc>
          <w:tcPr>
            <w:tcW w:type="dxa" w:w="2493"/>
            <w:vAlign w:val="top"/>
          </w:tcPr>
          <w:p>
            <w:r>
              <w:t>Kontaktverbot mündlich erläutert</w:t>
            </w:r>
          </w:p>
        </w:tc>
        <w:tc>
          <w:tcPr>
            <w:tcW w:type="dxa" w:w="2493"/>
            <w:vAlign w:val="top"/>
          </w:tcPr>
          <w:p>
            <w:r>
              <w:t>keine strafbewehrte gerichtliche Anordnung zu diesem Zeitpunkt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238 StGB</w:t>
      </w:r>
    </w:p>
    <w:p>
      <w:pPr>
        <w:pStyle w:val="ListBullet"/>
      </w:pPr>
      <w:r>
        <w:t>Paragraf 201a StGB</w:t>
      </w:r>
    </w:p>
    <w:p>
      <w:pPr>
        <w:pStyle w:val="ListBullet"/>
      </w:pPr>
      <w:r>
        <w:t>Paragraf 100g StPO</w:t>
      </w:r>
    </w:p>
    <w:p>
      <w:pPr>
        <w:pStyle w:val="ListBullet"/>
      </w:pPr>
      <w:r>
        <w:t>Paragraf 406h StPO</w:t>
      </w:r>
    </w:p>
    <w:p>
      <w:pPr>
        <w:pStyle w:val="ListBullet"/>
      </w:pPr>
      <w:r>
        <w:t>Paragraf 244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