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Entwurf nächster Verfahrensschritt</w:t>
      </w:r>
    </w:p>
    <w:p>
      <w:r>
        <w:rPr>
          <w:i/>
          <w:sz w:val="20"/>
        </w:rPr>
        <w:t>Amtsgericht Hannover, Strafrichter Abteilung 312 | Staatsanwaltschaft Hannover, 312 Js 5020/26</w:t>
      </w:r>
    </w:p>
    <w:p>
      <w:pPr>
        <w:pStyle w:val="Heading2"/>
      </w:pPr>
      <w:r>
        <w:t>Entwurfsziel</w:t>
      </w:r>
    </w:p>
    <w:p>
      <w:pPr>
        <w:spacing w:after="120" w:line="259" w:lineRule="auto"/>
      </w:pPr>
      <w:r>
        <w:t>Chronologie gerichtsfest verdichten, Plattformdaten und SIM-Abfragen nachfassen, Schutzantrag finalisieren und Beweisübersicht nach Kontaktkanälen erstellen.</w:t>
      </w:r>
    </w:p>
    <w:p>
      <w:pPr>
        <w:pStyle w:val="Heading2"/>
      </w:pPr>
      <w:r>
        <w:t>Textbaustein</w:t>
      </w:r>
    </w:p>
    <w:p>
      <w:pPr>
        <w:spacing w:after="120" w:line="259" w:lineRule="auto"/>
      </w:pPr>
      <w:r>
        <w:t>In der Sache Staatsanwaltschaft Hannover, 312 Js 5020/26 beantragen wir zunächst, die nachfolgend bezeichneten Unterlagen vollständig und in Originalqualität zur Akte zu nehmen beziehungsweise der Verteidigung zugänglich zu machen.</w:t>
      </w:r>
    </w:p>
    <w:p>
      <w:pPr>
        <w:spacing w:after="120" w:line="259" w:lineRule="auto"/>
      </w:pPr>
      <w:r>
        <w:t>Die bisherige Aktenlage lässt eine abschließende Stellungnahme noch nicht zu, weil zentrale Beweismittel entweder nur zusammengefasst wiedergegeben oder technisch nicht nachvollziehbar dokumentiert sind.</w:t>
      </w:r>
    </w:p>
    <w:p>
      <w:pPr>
        <w:spacing w:after="120" w:line="259" w:lineRule="auto"/>
      </w:pPr>
      <w:r>
        <w:t>Sobald die Nachlieferungen vorliegen, wird eine geordnete Stellungnahme nach Tatsachenkern, Beweiswert, rechtlicher Einordnung und Verfahrensziel eingereicht.</w:t>
      </w:r>
    </w:p>
    <w:p>
      <w:pPr>
        <w:pStyle w:val="Heading2"/>
      </w:pPr>
      <w:r>
        <w:t>Konkrete Anträge und Bitten</w:t>
      </w:r>
    </w:p>
    <w:p>
      <w:pPr>
        <w:pStyle w:val="ListBullet"/>
      </w:pPr>
      <w:r>
        <w:t>Übersendung aller digitalen Originaldateien mit Metadaten und Sicherungsvermerken.</w:t>
      </w:r>
    </w:p>
    <w:p>
      <w:pPr>
        <w:pStyle w:val="ListBullet"/>
      </w:pPr>
      <w:r>
        <w:t>Mitteilung sämtlicher Zustelldaten, Ladungsdaten und noch offener Fristen.</w:t>
      </w:r>
    </w:p>
    <w:p>
      <w:pPr>
        <w:pStyle w:val="ListBullet"/>
      </w:pPr>
      <w:r>
        <w:t>Benennung ausstehender Gutachten und geplanter Vernehmungen.</w:t>
      </w:r>
    </w:p>
    <w:p>
      <w:pPr>
        <w:pStyle w:val="ListBullet"/>
      </w:pPr>
      <w:r>
        <w:t>Gelegenheit zur ergänzenden Stellungnahme nach vollständiger Akteneinsicht.</w:t>
      </w:r>
    </w:p>
    <w:p>
      <w:pPr>
        <w:pStyle w:val="Heading2"/>
      </w:pPr>
      <w:r>
        <w:t>Taktischer Hinweis</w:t>
      </w:r>
    </w:p>
    <w:p>
      <w:pPr>
        <w:spacing w:after="120" w:line="259" w:lineRule="auto"/>
      </w:pPr>
      <w:r>
        <w:t>Der Entwurf ist bewusst kurz gehalten. Er sichert den nächsten Schritt, ohne eine Sachversion festzuschreiben, die später nach Akteneinsicht korrigiert werden müsste.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