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Kassel, Schöffengericht Abteilung 42 | Staatsanwaltschaft Kassel, 42 Js 3771/26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Kassel, 42 Js 3771/26 führt die Sache derzeit mit Schwerpunkt auf: Untreue nach Paragraf 266 StGB; Unterschlagungs- und Betrugsprüfung; Einziehung und Vermögensarrest.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Kassenbuch</w:t>
            </w:r>
          </w:p>
        </w:tc>
        <w:tc>
          <w:tcPr>
            <w:tcW w:type="dxa" w:w="2493"/>
            <w:vAlign w:val="top"/>
          </w:tcPr>
          <w:p>
            <w:r>
              <w:t>Excel-Export Verein</w:t>
            </w:r>
          </w:p>
        </w:tc>
        <w:tc>
          <w:tcPr>
            <w:tcW w:type="dxa" w:w="2493"/>
            <w:vAlign w:val="top"/>
          </w:tcPr>
          <w:p>
            <w:r>
              <w:t>Fehlbetrag und Barabhebungen</w:t>
            </w:r>
          </w:p>
        </w:tc>
        <w:tc>
          <w:tcPr>
            <w:tcW w:type="dxa" w:w="2493"/>
            <w:vAlign w:val="top"/>
          </w:tcPr>
          <w:p>
            <w:r>
              <w:t>Beleglage teilweise unvollständig</w:t>
            </w:r>
          </w:p>
        </w:tc>
      </w:tr>
      <w:tr>
        <w:tc>
          <w:tcPr>
            <w:tcW w:type="dxa" w:w="2493"/>
            <w:vAlign w:val="top"/>
          </w:tcPr>
          <w:p>
            <w:r>
              <w:t>Sponsoringvertrag</w:t>
            </w:r>
          </w:p>
        </w:tc>
        <w:tc>
          <w:tcPr>
            <w:tcW w:type="dxa" w:w="2493"/>
            <w:vAlign w:val="top"/>
          </w:tcPr>
          <w:p>
            <w:r>
              <w:t>Autohaus Kern</w:t>
            </w:r>
          </w:p>
        </w:tc>
        <w:tc>
          <w:tcPr>
            <w:tcW w:type="dxa" w:w="2493"/>
            <w:vAlign w:val="top"/>
          </w:tcPr>
          <w:p>
            <w:r>
              <w:t>Zweckbindung Jugendtrikots</w:t>
            </w:r>
          </w:p>
        </w:tc>
        <w:tc>
          <w:tcPr>
            <w:tcW w:type="dxa" w:w="2493"/>
            <w:vAlign w:val="top"/>
          </w:tcPr>
          <w:p>
            <w:r>
              <w:t>Zahlungszweck allgemein formuliert</w:t>
            </w:r>
          </w:p>
        </w:tc>
      </w:tr>
      <w:tr>
        <w:tc>
          <w:tcPr>
            <w:tcW w:type="dxa" w:w="2493"/>
            <w:vAlign w:val="top"/>
          </w:tcPr>
          <w:p>
            <w:r>
              <w:t>Quittungen</w:t>
            </w:r>
          </w:p>
        </w:tc>
        <w:tc>
          <w:tcPr>
            <w:tcW w:type="dxa" w:w="2493"/>
            <w:vAlign w:val="top"/>
          </w:tcPr>
          <w:p>
            <w:r>
              <w:t>Belegordner 2024/2025</w:t>
            </w:r>
          </w:p>
        </w:tc>
        <w:tc>
          <w:tcPr>
            <w:tcW w:type="dxa" w:w="2493"/>
            <w:vAlign w:val="top"/>
          </w:tcPr>
          <w:p>
            <w:r>
              <w:t>identisches Schriftbild</w:t>
            </w:r>
          </w:p>
        </w:tc>
        <w:tc>
          <w:tcPr>
            <w:tcW w:type="dxa" w:w="2493"/>
            <w:vAlign w:val="top"/>
          </w:tcPr>
          <w:p>
            <w:r>
              <w:t>einige Leistungen tatsächlich erbracht</w:t>
            </w:r>
          </w:p>
        </w:tc>
      </w:tr>
      <w:tr>
        <w:tc>
          <w:tcPr>
            <w:tcW w:type="dxa" w:w="2493"/>
            <w:vAlign w:val="top"/>
          </w:tcPr>
          <w:p>
            <w:r>
              <w:t>Privattabelle</w:t>
            </w:r>
          </w:p>
        </w:tc>
        <w:tc>
          <w:tcPr>
            <w:tcW w:type="dxa" w:w="2493"/>
            <w:vAlign w:val="top"/>
          </w:tcPr>
          <w:p>
            <w:r>
              <w:t>Laptop Schulte</w:t>
            </w:r>
          </w:p>
        </w:tc>
        <w:tc>
          <w:tcPr>
            <w:tcW w:type="dxa" w:w="2493"/>
            <w:vAlign w:val="top"/>
          </w:tcPr>
          <w:p>
            <w:r>
              <w:t>Spalten Privat und Verein</w:t>
            </w:r>
          </w:p>
        </w:tc>
        <w:tc>
          <w:tcPr>
            <w:tcW w:type="dxa" w:w="2493"/>
            <w:vAlign w:val="top"/>
          </w:tcPr>
          <w:p>
            <w:r>
              <w:t>Kontext erklärungsbedürftig</w:t>
            </w:r>
          </w:p>
        </w:tc>
      </w:tr>
      <w:tr>
        <w:tc>
          <w:tcPr>
            <w:tcW w:type="dxa" w:w="2493"/>
            <w:vAlign w:val="top"/>
          </w:tcPr>
          <w:p>
            <w:r>
              <w:t>Zeugin Melzer</w:t>
            </w:r>
          </w:p>
        </w:tc>
        <w:tc>
          <w:tcPr>
            <w:tcW w:type="dxa" w:w="2493"/>
            <w:vAlign w:val="top"/>
          </w:tcPr>
          <w:p>
            <w:r>
              <w:t>neue Vorsitzende</w:t>
            </w:r>
          </w:p>
        </w:tc>
        <w:tc>
          <w:tcPr>
            <w:tcW w:type="dxa" w:w="2493"/>
            <w:vAlign w:val="top"/>
          </w:tcPr>
          <w:p>
            <w:r>
              <w:t>fehlende Vorstandsbeschlüsse</w:t>
            </w:r>
          </w:p>
        </w:tc>
        <w:tc>
          <w:tcPr>
            <w:tcW w:type="dxa" w:w="2493"/>
            <w:vAlign w:val="top"/>
          </w:tcPr>
          <w:p>
            <w:r>
              <w:t>eigene Kontrollversäumnisse möglich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266 StGB</w:t>
      </w:r>
    </w:p>
    <w:p>
      <w:pPr>
        <w:pStyle w:val="ListBullet"/>
      </w:pPr>
      <w:r>
        <w:t>Paragraf 73 StGB</w:t>
      </w:r>
    </w:p>
    <w:p>
      <w:pPr>
        <w:pStyle w:val="ListBullet"/>
      </w:pPr>
      <w:r>
        <w:t>Paragraf 111e StPO</w:t>
      </w:r>
    </w:p>
    <w:p>
      <w:pPr>
        <w:pStyle w:val="ListBullet"/>
      </w:pPr>
      <w:r>
        <w:t>Paragraf 403 StPO</w:t>
      </w:r>
    </w:p>
    <w:p>
      <w:pPr>
        <w:pStyle w:val="ListBullet"/>
      </w:pPr>
      <w:r>
        <w:t>Paragraf 147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