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Kassel, Schöffengericht Abteilung 42 | Staatsanwaltschaft Kassel, 42 Js 3771/26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266 StGB, Paragraf 73 StGB, Paragraf 111e StPO, Paragraf 403 StPO, Paragraf 147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Schadensmatrix finalisieren, Arrestanregung prüfen, Belege in echte Ausgaben und ungeklärte Abflüsse trennen und Adhäsionsantrag vorbereiten.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