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Kassel, Schöffengericht Abteilung 42 | Staatsanwaltschaft Kassel, 42 Js 3771/26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Schadensmatrix finalisieren, Arrestanregung prüfen, Belege in echte Ausgaben und ungeklärte Abflüsse trennen und Adhäsionsantrag vorbereiten.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Kassel, 42 Js 3771/26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