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Amtsgericht Bremen, Strafrichter Abteilung 95 | Staatsanwaltschaft Bremen, 95 Js 4402/26</w:t>
      </w:r>
    </w:p>
    <w:p>
      <w:pPr>
        <w:pStyle w:val="Heading2"/>
      </w:pPr>
      <w:r>
        <w:t>Arbeitsfassung Sachverhalt</w:t>
      </w:r>
    </w:p>
    <w:p>
      <w:pPr>
        <w:spacing w:after="120" w:line="259" w:lineRule="auto"/>
      </w:pPr>
      <w:r>
        <w:t>Die Pflegefachkraft Nadine Kroll soll dem Arbeitgeber einen eingescannten Ausdruck einer Arbeitsunfähigkeitsbescheinigung vorgelegt haben, der eine Krankschreibung ab 03.02.2026 ausweist. Die Krankenkassen-eAU enthielt zunächst nur den Zeitraum ab 06.02.2026. Die Praxis Dr. Twardon bestätigt eine Konsultation am 06.02.2026, bestreitet aber eine rückwirkende Bescheinigung ab 03.02.2026.</w:t>
      </w:r>
    </w:p>
    <w:p>
      <w:pPr>
        <w:spacing w:after="120" w:line="259" w:lineRule="auto"/>
      </w:pPr>
      <w:r>
        <w:t>Die Mandantin erklärt, sie habe am 03.02. telefonisch in der Praxis angerufen und sei wegen Überfüllung erst am 06.02. gesehen worden. Eine MFA habe ihr gesagt, der Anfang könne rückwirkend korrigiert werden. Der Arbeitgeber vermutet eine nachträgliche Veränderung am PDF, weil Metadaten auf eine Bearbeitung in einer Smartphone-App hinweisen.</w:t>
      </w:r>
    </w:p>
    <w:p>
      <w:pPr>
        <w:spacing w:after="120" w:line="259" w:lineRule="auto"/>
      </w:pPr>
      <w:r>
        <w:t>Die Akte verbindet Urkundenqualität, Täuschungsvorsatz, Gebrauchmachen, digitale Metadaten und arbeitsrechtliche Nebenfolgen. Besonders wichtig ist, ob der Ausdruck eine zum Beweis im Rechtsverkehr bestimmte Gedankenerklärung der Praxis verkörpert und ob eine berechtigte rückwirkende Feststellung medizinisch dokumentiert ist.</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03.02.2026</w:t>
            </w:r>
          </w:p>
        </w:tc>
        <w:tc>
          <w:tcPr>
            <w:tcW w:type="dxa" w:w="4986"/>
            <w:vAlign w:val="top"/>
          </w:tcPr>
          <w:p>
            <w:r>
              <w:t>Beginn krankheitsbedingte Fehlzeit laut Arbeitgeberausdruck</w:t>
            </w:r>
          </w:p>
        </w:tc>
      </w:tr>
      <w:tr>
        <w:tc>
          <w:tcPr>
            <w:tcW w:type="dxa" w:w="4986"/>
            <w:vAlign w:val="top"/>
          </w:tcPr>
          <w:p>
            <w:r>
              <w:t>05.02.2026</w:t>
            </w:r>
          </w:p>
        </w:tc>
        <w:tc>
          <w:tcPr>
            <w:tcW w:type="dxa" w:w="4986"/>
            <w:vAlign w:val="top"/>
          </w:tcPr>
          <w:p>
            <w:r>
              <w:t>eAU-Abfrage der Arbeitgeberin ohne Treffer für 03.02. bis 07.02.</w:t>
            </w:r>
          </w:p>
        </w:tc>
      </w:tr>
      <w:tr>
        <w:tc>
          <w:tcPr>
            <w:tcW w:type="dxa" w:w="4986"/>
            <w:vAlign w:val="top"/>
          </w:tcPr>
          <w:p>
            <w:r>
              <w:t>06.02.2026</w:t>
            </w:r>
          </w:p>
        </w:tc>
        <w:tc>
          <w:tcPr>
            <w:tcW w:type="dxa" w:w="4986"/>
            <w:vAlign w:val="top"/>
          </w:tcPr>
          <w:p>
            <w:r>
              <w:t>Übersendung eines eingescannten Praxisformulars per E-Mail</w:t>
            </w:r>
          </w:p>
        </w:tc>
      </w:tr>
      <w:tr>
        <w:tc>
          <w:tcPr>
            <w:tcW w:type="dxa" w:w="4986"/>
            <w:vAlign w:val="top"/>
          </w:tcPr>
          <w:p>
            <w:r>
              <w:t>25.03.2026</w:t>
            </w:r>
          </w:p>
        </w:tc>
        <w:tc>
          <w:tcPr>
            <w:tcW w:type="dxa" w:w="4986"/>
            <w:vAlign w:val="top"/>
          </w:tcPr>
          <w:p>
            <w:r>
              <w:t>Strafanzeige der Arbeitgeberin</w:t>
            </w:r>
          </w:p>
        </w:tc>
      </w:tr>
      <w:tr>
        <w:tc>
          <w:tcPr>
            <w:tcW w:type="dxa" w:w="4986"/>
            <w:vAlign w:val="top"/>
          </w:tcPr>
          <w:p>
            <w:r>
              <w:t>12.06.2026</w:t>
            </w:r>
          </w:p>
        </w:tc>
        <w:tc>
          <w:tcPr>
            <w:tcW w:type="dxa" w:w="4986"/>
            <w:vAlign w:val="top"/>
          </w:tcPr>
          <w:p>
            <w:r>
              <w:t>Praxissoftware-Auszug wird zur Akte genommen</w:t>
            </w:r>
          </w:p>
        </w:tc>
      </w:tr>
      <w:tr>
        <w:tc>
          <w:tcPr>
            <w:tcW w:type="dxa" w:w="4986"/>
            <w:vAlign w:val="top"/>
          </w:tcPr>
          <w:p>
            <w:r>
              <w:t>01.08.2026</w:t>
            </w:r>
          </w:p>
        </w:tc>
        <w:tc>
          <w:tcPr>
            <w:tcW w:type="dxa" w:w="4986"/>
            <w:vAlign w:val="top"/>
          </w:tcPr>
          <w:p>
            <w:r>
              <w:t>arbeitsgerichtlicher Gütetermin parallel</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