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Bremen, Strafrichter Abteilung 95 | Staatsanwaltschaft Bremen, 95 Js 4402/26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Bremen, 95 Js 4402/26 führt die Sache derzeit mit Schwerpunkt auf: Urkundenfälschung nach Paragraf 267 StGB; Betrugsprüfung wegen Entgeltfortzahlung; Gebrauchmachen eines veränderten Dokuments.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eAU-Rückmeldung</w:t>
            </w:r>
          </w:p>
        </w:tc>
        <w:tc>
          <w:tcPr>
            <w:tcW w:type="dxa" w:w="2493"/>
            <w:vAlign w:val="top"/>
          </w:tcPr>
          <w:p>
            <w:r>
              <w:t>Krankenkasse Bremen</w:t>
            </w:r>
          </w:p>
        </w:tc>
        <w:tc>
          <w:tcPr>
            <w:tcW w:type="dxa" w:w="2493"/>
            <w:vAlign w:val="top"/>
          </w:tcPr>
          <w:p>
            <w:r>
              <w:t>kein Treffer für Anfangszeitraum</w:t>
            </w:r>
          </w:p>
        </w:tc>
        <w:tc>
          <w:tcPr>
            <w:tcW w:type="dxa" w:w="2493"/>
            <w:vAlign w:val="top"/>
          </w:tcPr>
          <w:p>
            <w:r>
              <w:t>spätere Korrektur möglich</w:t>
            </w:r>
          </w:p>
        </w:tc>
      </w:tr>
      <w:tr>
        <w:tc>
          <w:tcPr>
            <w:tcW w:type="dxa" w:w="2493"/>
            <w:vAlign w:val="top"/>
          </w:tcPr>
          <w:p>
            <w:r>
              <w:t>Praxissoftware</w:t>
            </w:r>
          </w:p>
        </w:tc>
        <w:tc>
          <w:tcPr>
            <w:tcW w:type="dxa" w:w="2493"/>
            <w:vAlign w:val="top"/>
          </w:tcPr>
          <w:p>
            <w:r>
              <w:t>Dr. Twardon</w:t>
            </w:r>
          </w:p>
        </w:tc>
        <w:tc>
          <w:tcPr>
            <w:tcW w:type="dxa" w:w="2493"/>
            <w:vAlign w:val="top"/>
          </w:tcPr>
          <w:p>
            <w:r>
              <w:t>Termin erst 06.02.</w:t>
            </w:r>
          </w:p>
        </w:tc>
        <w:tc>
          <w:tcPr>
            <w:tcW w:type="dxa" w:w="2493"/>
            <w:vAlign w:val="top"/>
          </w:tcPr>
          <w:p>
            <w:r>
              <w:t>Telefonnotiz 03.02. vorhanden</w:t>
            </w:r>
          </w:p>
        </w:tc>
      </w:tr>
      <w:tr>
        <w:tc>
          <w:tcPr>
            <w:tcW w:type="dxa" w:w="2493"/>
            <w:vAlign w:val="top"/>
          </w:tcPr>
          <w:p>
            <w:r>
              <w:t>PDF-Metadaten</w:t>
            </w:r>
          </w:p>
        </w:tc>
        <w:tc>
          <w:tcPr>
            <w:tcW w:type="dxa" w:w="2493"/>
            <w:vAlign w:val="top"/>
          </w:tcPr>
          <w:p>
            <w:r>
              <w:t>Arbeitgeber-IT</w:t>
            </w:r>
          </w:p>
        </w:tc>
        <w:tc>
          <w:tcPr>
            <w:tcW w:type="dxa" w:w="2493"/>
            <w:vAlign w:val="top"/>
          </w:tcPr>
          <w:p>
            <w:r>
              <w:t>Bearbeitung Smartphone-App</w:t>
            </w:r>
          </w:p>
        </w:tc>
        <w:tc>
          <w:tcPr>
            <w:tcW w:type="dxa" w:w="2493"/>
            <w:vAlign w:val="top"/>
          </w:tcPr>
          <w:p>
            <w:r>
              <w:t>Scanoptimierung nicht ausgeschlossen</w:t>
            </w:r>
          </w:p>
        </w:tc>
      </w:tr>
      <w:tr>
        <w:tc>
          <w:tcPr>
            <w:tcW w:type="dxa" w:w="2493"/>
            <w:vAlign w:val="top"/>
          </w:tcPr>
          <w:p>
            <w:r>
              <w:t>E-Mail Mandantin</w:t>
            </w:r>
          </w:p>
        </w:tc>
        <w:tc>
          <w:tcPr>
            <w:tcW w:type="dxa" w:w="2493"/>
            <w:vAlign w:val="top"/>
          </w:tcPr>
          <w:p>
            <w:r>
              <w:t>06.02.2026 18:42 Uhr</w:t>
            </w:r>
          </w:p>
        </w:tc>
        <w:tc>
          <w:tcPr>
            <w:tcW w:type="dxa" w:w="2493"/>
            <w:vAlign w:val="top"/>
          </w:tcPr>
          <w:p>
            <w:r>
              <w:t>Übersendung an Arbeitgeber</w:t>
            </w:r>
          </w:p>
        </w:tc>
        <w:tc>
          <w:tcPr>
            <w:tcW w:type="dxa" w:w="2493"/>
            <w:vAlign w:val="top"/>
          </w:tcPr>
          <w:p>
            <w:r>
              <w:t>keine Erklärung zur Bearbeitung</w:t>
            </w:r>
          </w:p>
        </w:tc>
      </w:tr>
      <w:tr>
        <w:tc>
          <w:tcPr>
            <w:tcW w:type="dxa" w:w="2493"/>
            <w:vAlign w:val="top"/>
          </w:tcPr>
          <w:p>
            <w:r>
              <w:t>Dienstplan</w:t>
            </w:r>
          </w:p>
        </w:tc>
        <w:tc>
          <w:tcPr>
            <w:tcW w:type="dxa" w:w="2493"/>
            <w:vAlign w:val="top"/>
          </w:tcPr>
          <w:p>
            <w:r>
              <w:t>Pflegedienst HanseCare</w:t>
            </w:r>
          </w:p>
        </w:tc>
        <w:tc>
          <w:tcPr>
            <w:tcW w:type="dxa" w:w="2493"/>
            <w:vAlign w:val="top"/>
          </w:tcPr>
          <w:p>
            <w:r>
              <w:t>Ausfälle und Lohnfortzahlung</w:t>
            </w:r>
          </w:p>
        </w:tc>
        <w:tc>
          <w:tcPr>
            <w:tcW w:type="dxa" w:w="2493"/>
            <w:vAlign w:val="top"/>
          </w:tcPr>
          <w:p>
            <w:r>
              <w:t>kein unmittelbarer Vermögensschaden beziffert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267 StGB</w:t>
      </w:r>
    </w:p>
    <w:p>
      <w:pPr>
        <w:pStyle w:val="ListBullet"/>
      </w:pPr>
      <w:r>
        <w:t>Paragraf 263 StGB</w:t>
      </w:r>
    </w:p>
    <w:p>
      <w:pPr>
        <w:pStyle w:val="ListBullet"/>
      </w:pPr>
      <w:r>
        <w:t>Paragraf 153 StPO</w:t>
      </w:r>
    </w:p>
    <w:p>
      <w:pPr>
        <w:pStyle w:val="ListBullet"/>
      </w:pPr>
      <w:r>
        <w:t>Paragraf 153a StPO</w:t>
      </w:r>
    </w:p>
    <w:p>
      <w:pPr>
        <w:pStyle w:val="ListBullet"/>
      </w:pPr>
      <w:r>
        <w:t>Paragraf 147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