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Bremen, Strafrichter Abteilung 95 | Staatsanwaltschaft Bremen, 95 Js 4402/26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Original-eAU-Abfrage, Telefonnotiz der Praxis und Smartphone-Dateiverlauf sichern; zugleich Einstellung gegen geringe Auflage und arbeitsgerichtliche Schadensbegrenzung prüfen.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Bremen, 95 Js 4402/26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