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315d StGB, Paragraf 142 StGB, Paragraf 69 StGB, Paragraf 111a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Beschwerde gegen Fahrerlaubnismaßnahme prüfen, EDR-Rohdaten anfordern, Dashcam-Verwertung angreifen und frühe Schadenswiedergutmachung organisieren.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