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Amtsgericht Tiergarten, Strafrichter Abteilung 304 | Staatsanwaltschaft Berlin, 304 Js 1288/26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Beschwerde gegen Fahrerlaubnismaßnahme prüfen, EDR-Rohdaten anfordern, Dashcam-Verwertung angreifen und frühe Schadenswiedergutmachung organisieren.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Berlin, 304 Js 1288/26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