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Friederike Salzwedel | Insolvenzverwalterin | Kassel</w:t>
      </w:r>
    </w:p>
    <w:p>
      <w:pPr>
        <w:pStyle w:val="Heading1"/>
      </w:pPr>
      <w:r>
        <w:t>Klageschrift — LG Kassel</w:t>
      </w:r>
    </w:p>
    <w:p>
      <w:r>
        <w:t>Landgericht Kassel</w:t>
      </w:r>
    </w:p>
    <w:p>
      <w:r>
        <w:t>Klaegerin: Dr. Friederike Salzwedel als Insolvenzverwalterin ueber das Vermoegen der Fuldablick Baustoffhandel GmbH</w:t>
      </w:r>
    </w:p>
    <w:p>
      <w:r>
        <w:t>Beklagte: Daemmtec Werra GmbH, Eschwege</w:t>
      </w:r>
    </w:p>
    <w:p>
      <w:pPr>
        <w:pStyle w:val="Heading2"/>
      </w:pPr>
      <w:r>
        <w:t>Antrag</w:t>
      </w:r>
    </w:p>
    <w:p>
      <w:r>
        <w:t>Die Beklagte wird verurteilt, an die Klaegerin 142.370,00 EUR nebst Zinsen seit dem 01.05.2026 zu zahlen sowie Auskunft ueber den Verbleib der uebernommenen 663 Paletten Daemmplatten zu erteilen.</w:t>
      </w:r>
    </w:p>
    <w:p>
      <w:pPr>
        <w:pStyle w:val="Heading2"/>
      </w:pPr>
      <w:r>
        <w:t>Sachverhalt</w:t>
      </w:r>
    </w:p>
    <w:p>
      <w:r>
        <w:t>Die Beklagte erhielt am 18.12.2025 zur Tilgung offener Rechnungen von 118.000,00 EUR das gesamte Restlager Daemmplatten (663 Paletten, Buchwert 96.000,00 EUR) an Erfuellungs statt sowie zwei Kundenforderungen ueber zusammen 24.370,00 EUR abgetreten. Der Vorgang faellt in den zweiten Monat vor dem Eigenantrag vom 09.02.2026 (Zeitraum 09.12.2025 bis 08.01.2026).</w:t>
      </w:r>
    </w:p>
    <w:p>
      <w:pPr>
        <w:pStyle w:val="Heading2"/>
      </w:pPr>
      <w:r>
        <w:t>Rechtliche Wuerdigung</w:t>
      </w:r>
    </w:p>
    <w:p>
      <w:r>
        <w:t>Die Leistung an Erfuellungs statt ist eine inkongruente Deckung im Sinne des Paragraf 131 Abs. 1 InsO. Die objektive Zahlungsunfaehigkeit am Stichtag 18.12.2025 ergibt sich aus dem Liquiditaetsstatus (Unterdeckung 92,6 Prozent zum 15.12.2025); auf Kenntnis kommt es nach Nr. 2 nicht an. Hilfsweise wird auf Nr. 3 und die Kenntnis der Beklagten von der Glaeubigerbenachteiligung abgestellt.</w:t>
      </w:r>
    </w:p>
    <w:p/>
    <w:p>
      <w:r>
        <w:t>Dr. Friederike Salzwedel, Rechtsanwaeltin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