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sz w:val="18"/>
        </w:rPr>
        <w:t>Nachlassrecht Berlin-Mitte, Rechtsanwaeltin Dr. Susanne Voll-Herzberg</w:t>
      </w:r>
      <w:r>
        <w:rPr>
          <w:rFonts w:ascii="Times New Roman" w:hAnsi="Times New Roman"/>
          <w:i w:val="0"/>
          <w:sz w:val="18"/>
        </w:rPr>
        <w:br/>
        <w:t>Fachanwaeltin fuer Erbrecht, Muenzstrasse 21, 10178 Berlin-Mitte</w:t>
      </w:r>
      <w:r>
        <w:rPr>
          <w:rFonts w:ascii="Times New Roman" w:hAnsi="Times New Roman"/>
          <w:i w:val="0"/>
          <w:sz w:val="18"/>
        </w:rPr>
        <w:br/>
        <w:t>Tel. 030 288 461 90, Mandat Lohse, Az. 26-ERB-0417</w:t>
      </w:r>
    </w:p>
    <w:p>
      <w:pPr>
        <w:spacing w:after="200"/>
      </w:pPr>
      <w:r>
        <w:rPr>
          <w:sz w:val="16"/>
        </w:rPr>
        <w:t>______________________________________________________________________________</w:t>
      </w:r>
    </w:p>
    <w:p>
      <w:pPr>
        <w:pStyle w:val="Heading1"/>
      </w:pPr>
      <w:r>
        <w:t>Auskunftsklage gegen Ralf Lohse - Entwurf</w:t>
      </w:r>
    </w:p>
    <w:p>
      <w:pPr>
        <w:pStyle w:val="Heading2"/>
      </w:pPr>
      <w:r>
        <w:t>An das Amtsgericht Berlin-Mitte</w:t>
      </w:r>
    </w:p>
    <w:p>
      <w:r>
        <w:t>Klage der Frau Eva Lohse und der Frau Jana Lohse, in Erbengemeinschaft nach Armin Lohse, gegen Herrn Ralf Lohse wegen Auskunft und Herausgabe.</w:t>
      </w:r>
    </w:p>
    <w:p>
      <w:pPr>
        <w:pStyle w:val="Heading2"/>
      </w:pPr>
      <w:r>
        <w:t>1. Antrag</w:t>
      </w:r>
    </w:p>
    <w:p>
      <w:pPr>
        <w:pStyle w:val="ListBullet"/>
      </w:pPr>
      <w:r>
        <w:t>Der Beklagte wird verurteilt, Auskunft ueber Bestand und Zustand der auf dem in seinem Besitz befindlichen Studiorechner gespeicherten Daten des Erblassers zu erteilen, insbesondere ueber Bildarchive, Zugangsdaten und Kundendateien.</w:t>
      </w:r>
    </w:p>
    <w:p>
      <w:pPr>
        <w:pStyle w:val="ListBullet"/>
      </w:pPr>
      <w:r>
        <w:t>Der Beklagte wird verurteilt, den Studiorechner nebst Datentraegern an die Klaegerinnen herauszugeben.</w:t>
      </w:r>
    </w:p>
    <w:p>
      <w:pPr>
        <w:pStyle w:val="Heading2"/>
      </w:pPr>
      <w:r>
        <w:t>2. Sachverhalt</w:t>
      </w:r>
    </w:p>
    <w:p>
      <w:r>
        <w:t>Der Beklagte ist Bruder des Erblassers und hat nach dessen Tod den im gemeinsamen Atelier stehenden Studiorechner an sich genommen. Er beruft sich darauf, die Daten lediglich sichern zu wollen, weil die Klaegerin Eva Lohse technisch ueberfordert sei. Eine Herausgabe hat er bislang unter Hinweis auf angeblich eigene Bearbeitungsanteile an den Rohdaten verweigert.</w:t>
      </w:r>
    </w:p>
    <w:p>
      <w:pPr>
        <w:pStyle w:val="Heading2"/>
      </w:pPr>
      <w:r>
        <w:t>3. Rechtliche Wuerdigung</w:t>
      </w:r>
    </w:p>
    <w:p>
      <w:r>
        <w:t>Der Auskunfts- und Herausgabeanspruch folgt aus Paragraf 2027 BGB in Verbindung mit Paragraf 2018 BGB. Der Beklagte ist Erbschaftsbesitzer, da er sich den Nachlassgegenstand ohne rechtlichen Grund als zum Nachlass gehoerig angemasst hat. Soweit der Beklagte eigene Miturheberrechte an Bearbeitungen behauptet, aendert dies nichts am Herausgabeanspruch hinsichtlich des Datentraegers als solchem; etwaige Nutzungsrechte waeren gesondert zu klaeren.</w:t>
      </w:r>
    </w:p>
    <w:p>
      <w:pPr>
        <w:pStyle w:val="Heading2"/>
      </w:pPr>
      <w:r>
        <w:t>4. Beweismittel</w:t>
      </w:r>
    </w:p>
    <w:p>
      <w:pPr>
        <w:pStyle w:val="ListBullet"/>
      </w:pPr>
      <w:r>
        <w:t>Zeugnis Jana Lohse zum Gespraech vom 20.06.2026</w:t>
      </w:r>
    </w:p>
    <w:p>
      <w:pPr>
        <w:pStyle w:val="ListBullet"/>
      </w:pPr>
      <w:r>
        <w:t>Vorlage der E-Mail-Korrespondenz mit Ralf Lohse</w:t>
      </w:r>
    </w:p>
    <w:p>
      <w:pPr>
        <w:pStyle w:val="ListBullet"/>
      </w:pPr>
      <w:r>
        <w:t>Sachverstaendigengutachten zur Datenintegritaet, sofern Streit ueber Veraenderungen entsteht</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