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sz w:val="18"/>
        </w:rPr>
        <w:t>Nachlassrecht Berlin-Mitte, Rechtsanwaeltin Dr. Susanne Voll-Herzberg</w:t>
      </w:r>
      <w:r>
        <w:rPr>
          <w:rFonts w:ascii="Times New Roman" w:hAnsi="Times New Roman"/>
          <w:i w:val="0"/>
          <w:sz w:val="18"/>
        </w:rPr>
        <w:br/>
        <w:t>Fachanwaeltin fuer Erbrecht, Muenzstrasse 21, 10178 Berlin-Mitte</w:t>
      </w:r>
      <w:r>
        <w:rPr>
          <w:rFonts w:ascii="Times New Roman" w:hAnsi="Times New Roman"/>
          <w:i w:val="0"/>
          <w:sz w:val="18"/>
        </w:rPr>
        <w:br/>
        <w:t>Tel. 030 288 461 90, Mandat Lohse, Az. 26-ERB-0417</w:t>
      </w:r>
    </w:p>
    <w:p>
      <w:pPr>
        <w:spacing w:after="200"/>
      </w:pPr>
      <w:r>
        <w:rPr>
          <w:sz w:val="16"/>
        </w:rPr>
        <w:t>______________________________________________________________________________</w:t>
      </w:r>
    </w:p>
    <w:p>
      <w:pPr>
        <w:pStyle w:val="Heading1"/>
      </w:pPr>
      <w:r>
        <w:t>Bewertung der Bildrechte im Nachlass</w:t>
      </w:r>
    </w:p>
    <w:p>
      <w:pPr>
        <w:pStyle w:val="Heading2"/>
      </w:pPr>
      <w:r>
        <w:t>1. Ausgangslage</w:t>
      </w:r>
    </w:p>
    <w:p>
      <w:r>
        <w:t>Fuer die Nachlassauseinandersetzung und eine moegliche Erbschaftsteuererklaerung ist der Verkehrswert der urheberrechtlich geschuetzten Bildbestaende des Erblassers zu schaetzen. Grundlage sind die Lizenzeinnahmen der letzten drei Jahre sowie der Bestand an unveroeffentlichten Aufnahmen.</w:t>
      </w:r>
    </w:p>
    <w:p>
      <w:pPr>
        <w:pStyle w:val="Heading2"/>
      </w:pPr>
      <w:r>
        <w:t>2. Bewertungsmethode</w:t>
      </w:r>
    </w:p>
    <w:p>
      <w:r>
        <w:t>Angesetzt wird eine Ertragswertmethode auf Basis des durchschnittlichen Jahreshonorars aus der Bildagentur Nordfenster, hochgerechnet auf eine geschaetzte Restnutzungsdauer der Bildrechte von 15 Jahren mit einem Abschlag fuer sinkende Nachfrage nach aelteren Aufnahmen.</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t>Kategorie</w:t>
            </w:r>
          </w:p>
        </w:tc>
        <w:tc>
          <w:tcPr>
            <w:tcW w:type="dxa" w:w="2422"/>
          </w:tcPr>
          <w:p>
            <w:r>
              <w:t>Jahreshonorar ca.</w:t>
            </w:r>
          </w:p>
        </w:tc>
        <w:tc>
          <w:tcPr>
            <w:tcW w:type="dxa" w:w="2422"/>
          </w:tcPr>
          <w:p>
            <w:r>
              <w:t>Bewertungsfaktor</w:t>
            </w:r>
          </w:p>
        </w:tc>
        <w:tc>
          <w:tcPr>
            <w:tcW w:type="dxa" w:w="2422"/>
          </w:tcPr>
          <w:p>
            <w:r>
              <w:t>Geschaetzter Wert</w:t>
            </w:r>
          </w:p>
        </w:tc>
      </w:tr>
      <w:tr>
        <w:tc>
          <w:tcPr>
            <w:tcW w:type="dxa" w:w="2422"/>
          </w:tcPr>
          <w:p>
            <w:r>
              <w:t>Architekturserie Hafenstadt</w:t>
            </w:r>
          </w:p>
        </w:tc>
        <w:tc>
          <w:tcPr>
            <w:tcW w:type="dxa" w:w="2422"/>
          </w:tcPr>
          <w:p>
            <w:r>
              <w:t>3200 EUR</w:t>
            </w:r>
          </w:p>
        </w:tc>
        <w:tc>
          <w:tcPr>
            <w:tcW w:type="dxa" w:w="2422"/>
          </w:tcPr>
          <w:p>
            <w:r>
              <w:t>8</w:t>
            </w:r>
          </w:p>
        </w:tc>
        <w:tc>
          <w:tcPr>
            <w:tcW w:type="dxa" w:w="2422"/>
          </w:tcPr>
          <w:p>
            <w:r>
              <w:t>25600 EUR</w:t>
            </w:r>
          </w:p>
        </w:tc>
      </w:tr>
      <w:tr>
        <w:tc>
          <w:tcPr>
            <w:tcW w:type="dxa" w:w="2422"/>
          </w:tcPr>
          <w:p>
            <w:r>
              <w:t>Portraitarchiv</w:t>
            </w:r>
          </w:p>
        </w:tc>
        <w:tc>
          <w:tcPr>
            <w:tcW w:type="dxa" w:w="2422"/>
          </w:tcPr>
          <w:p>
            <w:r>
              <w:t>1400 EUR</w:t>
            </w:r>
          </w:p>
        </w:tc>
        <w:tc>
          <w:tcPr>
            <w:tcW w:type="dxa" w:w="2422"/>
          </w:tcPr>
          <w:p>
            <w:r>
              <w:t>6</w:t>
            </w:r>
          </w:p>
        </w:tc>
        <w:tc>
          <w:tcPr>
            <w:tcW w:type="dxa" w:w="2422"/>
          </w:tcPr>
          <w:p>
            <w:r>
              <w:t>8400 EUR</w:t>
            </w:r>
          </w:p>
        </w:tc>
      </w:tr>
      <w:tr>
        <w:tc>
          <w:tcPr>
            <w:tcW w:type="dxa" w:w="2422"/>
          </w:tcPr>
          <w:p>
            <w:r>
              <w:t>Unveroeffentlichte Negative</w:t>
            </w:r>
          </w:p>
        </w:tc>
        <w:tc>
          <w:tcPr>
            <w:tcW w:type="dxa" w:w="2422"/>
          </w:tcPr>
          <w:p>
            <w:r>
              <w:t>unklar</w:t>
            </w:r>
          </w:p>
        </w:tc>
        <w:tc>
          <w:tcPr>
            <w:tcW w:type="dxa" w:w="2422"/>
          </w:tcPr>
          <w:p>
            <w:r>
              <w:t>Schaetzung</w:t>
            </w:r>
          </w:p>
        </w:tc>
        <w:tc>
          <w:tcPr>
            <w:tcW w:type="dxa" w:w="2422"/>
          </w:tcPr>
          <w:p>
            <w:r>
              <w:t>10000 EUR bis 18000 EUR</w:t>
            </w:r>
          </w:p>
        </w:tc>
      </w:tr>
      <w:tr>
        <w:tc>
          <w:tcPr>
            <w:tcW w:type="dxa" w:w="2422"/>
          </w:tcPr>
          <w:p>
            <w:r>
              <w:t>Ausstehendes Agenturhonorar</w:t>
            </w:r>
          </w:p>
        </w:tc>
        <w:tc>
          <w:tcPr>
            <w:tcW w:type="dxa" w:w="2422"/>
          </w:tcPr>
          <w:p>
            <w:r>
              <w:t>einmalig</w:t>
            </w:r>
          </w:p>
        </w:tc>
        <w:tc>
          <w:tcPr>
            <w:tcW w:type="dxa" w:w="2422"/>
          </w:tcPr>
          <w:p>
            <w:r>
              <w:t>-</w:t>
            </w:r>
          </w:p>
        </w:tc>
        <w:tc>
          <w:tcPr>
            <w:tcW w:type="dxa" w:w="2422"/>
          </w:tcPr>
          <w:p>
            <w:r>
              <w:t>7840 EUR</w:t>
            </w:r>
          </w:p>
        </w:tc>
      </w:tr>
    </w:tbl>
    <w:p>
      <w:pPr>
        <w:pStyle w:val="Heading2"/>
      </w:pPr>
      <w:r>
        <w:t>3. Unsicherheiten</w:t>
      </w:r>
    </w:p>
    <w:p>
      <w:pPr>
        <w:pStyle w:val="ListBullet"/>
      </w:pPr>
      <w:r>
        <w:t>Der Bestand unveroeffentlichter Negative ist nicht vollstaendig gesichtet, da sich ein Teil im Studiorechner bei Ralf Lohse befindet.</w:t>
      </w:r>
    </w:p>
    <w:p>
      <w:pPr>
        <w:pStyle w:val="ListBullet"/>
      </w:pPr>
      <w:r>
        <w:t>Model-Releases liegen teils nur digital vor; ohne diese ist die weitere Verwertbarkeit einzelner Aufnahmen fraglich, was den Wert mindern kann.</w:t>
      </w:r>
    </w:p>
    <w:p>
      <w:pPr>
        <w:pStyle w:val="ListBullet"/>
      </w:pPr>
      <w:r>
        <w:t>Die Bewertung dient der internen Einschaetzung und ersetzt kein Gutachten eines vereidigten Sachverstaendigen.</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