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Nachlassrecht Berlin-Mitte, Rechtsanwaeltin Dr. Susanne Voll-Herzberg</w:t>
      </w:r>
      <w:r>
        <w:rPr>
          <w:rFonts w:ascii="Times New Roman" w:hAnsi="Times New Roman"/>
          <w:i w:val="0"/>
          <w:sz w:val="18"/>
        </w:rPr>
        <w:br/>
        <w:t>Fachanwaeltin fuer Erbrecht, Muenzstrasse 21, 10178 Berlin-Mitte</w:t>
      </w:r>
      <w:r>
        <w:rPr>
          <w:rFonts w:ascii="Times New Roman" w:hAnsi="Times New Roman"/>
          <w:i w:val="0"/>
          <w:sz w:val="18"/>
        </w:rPr>
        <w:br/>
        <w:t>Tel. 030 288 461 90, Mandat Lohse, Az. 26-ERB-0417</w:t>
      </w:r>
    </w:p>
    <w:p>
      <w:pPr>
        <w:spacing w:after="200"/>
      </w:pPr>
      <w:r>
        <w:rPr>
          <w:sz w:val="16"/>
        </w:rPr>
        <w:t>______________________________________________________________________________</w:t>
      </w:r>
    </w:p>
    <w:p>
      <w:pPr>
        <w:pStyle w:val="Heading1"/>
      </w:pPr>
      <w:r>
        <w:t>Kostenuebersicht Kanzlei - Mandat Lohse</w:t>
      </w:r>
    </w:p>
    <w:p>
      <w:pPr>
        <w:pStyle w:val="Heading2"/>
      </w:pPr>
      <w:r>
        <w:t>1. Gegenstandswerte</w:t>
      </w:r>
    </w:p>
    <w:tbl>
      <w:tblPr>
        <w:tblStyle w:val="LightGrid-Accent1"/>
        <w:tblW w:type="auto" w:w="0"/>
        <w:tblLook w:firstColumn="1" w:firstRow="1" w:lastColumn="0" w:lastRow="0" w:noHBand="0" w:noVBand="1" w:val="04A0"/>
      </w:tblPr>
      <w:tblGrid>
        <w:gridCol w:w="3230"/>
        <w:gridCol w:w="3230"/>
        <w:gridCol w:w="3230"/>
      </w:tblGrid>
      <w:tr>
        <w:tc>
          <w:tcPr>
            <w:tcW w:type="dxa" w:w="3230"/>
          </w:tcPr>
          <w:p>
            <w:r>
              <w:t>Verfahren</w:t>
            </w:r>
          </w:p>
        </w:tc>
        <w:tc>
          <w:tcPr>
            <w:tcW w:type="dxa" w:w="3230"/>
          </w:tcPr>
          <w:p>
            <w:r>
              <w:t>Gegenstandswert</w:t>
            </w:r>
          </w:p>
        </w:tc>
        <w:tc>
          <w:tcPr>
            <w:tcW w:type="dxa" w:w="3230"/>
          </w:tcPr>
          <w:p>
            <w:r>
              <w:t>Grundlage</w:t>
            </w:r>
          </w:p>
        </w:tc>
      </w:tr>
      <w:tr>
        <w:tc>
          <w:tcPr>
            <w:tcW w:type="dxa" w:w="3230"/>
          </w:tcPr>
          <w:p>
            <w:r>
              <w:t>Erbscheinsverfahren</w:t>
            </w:r>
          </w:p>
        </w:tc>
        <w:tc>
          <w:tcPr>
            <w:tcW w:type="dxa" w:w="3230"/>
          </w:tcPr>
          <w:p>
            <w:r>
              <w:t>geschaetzt 52000 EUR</w:t>
            </w:r>
          </w:p>
        </w:tc>
        <w:tc>
          <w:tcPr>
            <w:tcW w:type="dxa" w:w="3230"/>
          </w:tcPr>
          <w:p>
            <w:r>
              <w:t>Nachlasswert vorlaeufig</w:t>
            </w:r>
          </w:p>
        </w:tc>
      </w:tr>
      <w:tr>
        <w:tc>
          <w:tcPr>
            <w:tcW w:type="dxa" w:w="3230"/>
          </w:tcPr>
          <w:p>
            <w:r>
              <w:t>Auskunftsklage gegen Ralf Lohse</w:t>
            </w:r>
          </w:p>
        </w:tc>
        <w:tc>
          <w:tcPr>
            <w:tcW w:type="dxa" w:w="3230"/>
          </w:tcPr>
          <w:p>
            <w:r>
              <w:t>5000 EUR (Auskunft, Regelstreitwert)</w:t>
            </w:r>
          </w:p>
        </w:tc>
        <w:tc>
          <w:tcPr>
            <w:tcW w:type="dxa" w:w="3230"/>
          </w:tcPr>
          <w:p>
            <w:r>
              <w:t>Paragraf 3 ZPO</w:t>
            </w:r>
          </w:p>
        </w:tc>
      </w:tr>
      <w:tr>
        <w:tc>
          <w:tcPr>
            <w:tcW w:type="dxa" w:w="3230"/>
          </w:tcPr>
          <w:p>
            <w:r>
              <w:t>Bildagentur-Auszahlung</w:t>
            </w:r>
          </w:p>
        </w:tc>
        <w:tc>
          <w:tcPr>
            <w:tcW w:type="dxa" w:w="3230"/>
          </w:tcPr>
          <w:p>
            <w:r>
              <w:t>7840 EUR</w:t>
            </w:r>
          </w:p>
        </w:tc>
        <w:tc>
          <w:tcPr>
            <w:tcW w:type="dxa" w:w="3230"/>
          </w:tcPr>
          <w:p>
            <w:r>
              <w:t>streitiges Honorar</w:t>
            </w:r>
          </w:p>
        </w:tc>
      </w:tr>
    </w:tbl>
    <w:p>
      <w:pPr>
        <w:pStyle w:val="Heading2"/>
      </w:pPr>
      <w:r>
        <w:t>2. Bisherige Taetigkeiten und Kosten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t>Datum</w:t>
            </w:r>
          </w:p>
        </w:tc>
        <w:tc>
          <w:tcPr>
            <w:tcW w:type="dxa" w:w="2422"/>
          </w:tcPr>
          <w:p>
            <w:r>
              <w:t>Taetigkeit</w:t>
            </w:r>
          </w:p>
        </w:tc>
        <w:tc>
          <w:tcPr>
            <w:tcW w:type="dxa" w:w="2422"/>
          </w:tcPr>
          <w:p>
            <w:r>
              <w:t>Zeitaufwand</w:t>
            </w:r>
          </w:p>
        </w:tc>
        <w:tc>
          <w:tcPr>
            <w:tcW w:type="dxa" w:w="2422"/>
          </w:tcPr>
          <w:p>
            <w:r>
              <w:t>Betrag</w:t>
            </w:r>
          </w:p>
        </w:tc>
      </w:tr>
      <w:tr>
        <w:tc>
          <w:tcPr>
            <w:tcW w:type="dxa" w:w="2422"/>
          </w:tcPr>
          <w:p>
            <w:r>
              <w:t>18.06.2026</w:t>
            </w:r>
          </w:p>
        </w:tc>
        <w:tc>
          <w:tcPr>
            <w:tcW w:type="dxa" w:w="2422"/>
          </w:tcPr>
          <w:p>
            <w:r>
              <w:t>Erstberatung und Mandatsannahme</w:t>
            </w:r>
          </w:p>
        </w:tc>
        <w:tc>
          <w:tcPr>
            <w:tcW w:type="dxa" w:w="2422"/>
          </w:tcPr>
          <w:p>
            <w:r>
              <w:t>90 Minuten</w:t>
            </w:r>
          </w:p>
        </w:tc>
        <w:tc>
          <w:tcPr>
            <w:tcW w:type="dxa" w:w="2422"/>
          </w:tcPr>
          <w:p>
            <w:r>
              <w:t>300 EUR</w:t>
            </w:r>
          </w:p>
        </w:tc>
      </w:tr>
      <w:tr>
        <w:tc>
          <w:tcPr>
            <w:tcW w:type="dxa" w:w="2422"/>
          </w:tcPr>
          <w:p>
            <w:r>
              <w:t>22.06.2026</w:t>
            </w:r>
          </w:p>
        </w:tc>
        <w:tc>
          <w:tcPr>
            <w:tcW w:type="dxa" w:w="2422"/>
          </w:tcPr>
          <w:p>
            <w:r>
              <w:t>Sichtung Testament und Notizzettel</w:t>
            </w:r>
          </w:p>
        </w:tc>
        <w:tc>
          <w:tcPr>
            <w:tcW w:type="dxa" w:w="2422"/>
          </w:tcPr>
          <w:p>
            <w:r>
              <w:t>60 Minuten</w:t>
            </w:r>
          </w:p>
        </w:tc>
        <w:tc>
          <w:tcPr>
            <w:tcW w:type="dxa" w:w="2422"/>
          </w:tcPr>
          <w:p>
            <w:r>
              <w:t>200 EUR</w:t>
            </w:r>
          </w:p>
        </w:tc>
      </w:tr>
      <w:tr>
        <w:tc>
          <w:tcPr>
            <w:tcW w:type="dxa" w:w="2422"/>
          </w:tcPr>
          <w:p>
            <w:r>
              <w:t>25.06.2026</w:t>
            </w:r>
          </w:p>
        </w:tc>
        <w:tc>
          <w:tcPr>
            <w:tcW w:type="dxa" w:w="2422"/>
          </w:tcPr>
          <w:p>
            <w:r>
              <w:t>Korrespondenz Bildagentur Nordfenster</w:t>
            </w:r>
          </w:p>
        </w:tc>
        <w:tc>
          <w:tcPr>
            <w:tcW w:type="dxa" w:w="2422"/>
          </w:tcPr>
          <w:p>
            <w:r>
              <w:t>30 Minuten</w:t>
            </w:r>
          </w:p>
        </w:tc>
        <w:tc>
          <w:tcPr>
            <w:tcW w:type="dxa" w:w="2422"/>
          </w:tcPr>
          <w:p>
            <w:r>
              <w:t>100 EUR</w:t>
            </w:r>
          </w:p>
        </w:tc>
      </w:tr>
      <w:tr>
        <w:tc>
          <w:tcPr>
            <w:tcW w:type="dxa" w:w="2422"/>
          </w:tcPr>
          <w:p>
            <w:r>
              <w:t>01.07.2026</w:t>
            </w:r>
          </w:p>
        </w:tc>
        <w:tc>
          <w:tcPr>
            <w:tcW w:type="dxa" w:w="2422"/>
          </w:tcPr>
          <w:p>
            <w:r>
              <w:t>Entwurf Erbscheinsantrag</w:t>
            </w:r>
          </w:p>
        </w:tc>
        <w:tc>
          <w:tcPr>
            <w:tcW w:type="dxa" w:w="2422"/>
          </w:tcPr>
          <w:p>
            <w:r>
              <w:t>120 Minuten</w:t>
            </w:r>
          </w:p>
        </w:tc>
        <w:tc>
          <w:tcPr>
            <w:tcW w:type="dxa" w:w="2422"/>
          </w:tcPr>
          <w:p>
            <w:r>
              <w:t>400 EUR</w:t>
            </w:r>
          </w:p>
        </w:tc>
      </w:tr>
      <w:tr>
        <w:tc>
          <w:tcPr>
            <w:tcW w:type="dxa" w:w="2422"/>
          </w:tcPr>
          <w:p>
            <w:r>
              <w:t>05.07.2026</w:t>
            </w:r>
          </w:p>
        </w:tc>
        <w:tc>
          <w:tcPr>
            <w:tcW w:type="dxa" w:w="2422"/>
          </w:tcPr>
          <w:p>
            <w:r>
              <w:t>Vorbereitung Auskunftsklage</w:t>
            </w:r>
          </w:p>
        </w:tc>
        <w:tc>
          <w:tcPr>
            <w:tcW w:type="dxa" w:w="2422"/>
          </w:tcPr>
          <w:p>
            <w:r>
              <w:t>90 Minuten</w:t>
            </w:r>
          </w:p>
        </w:tc>
        <w:tc>
          <w:tcPr>
            <w:tcW w:type="dxa" w:w="2422"/>
          </w:tcPr>
          <w:p>
            <w:r>
              <w:t>300 EUR</w:t>
            </w:r>
          </w:p>
        </w:tc>
      </w:tr>
    </w:tbl>
    <w:p>
      <w:pPr>
        <w:pStyle w:val="Heading2"/>
      </w:pPr>
      <w:r>
        <w:t>3. Honorarvereinbarung</w:t>
      </w:r>
    </w:p>
    <w:p>
      <w:r>
        <w:t>Es wurde ein Stundensatz von 200 EUR zzgl. Umsatzsteuer vereinbart. Ein Vorschuss von 1500 EUR ist am 19.06.2026 eingegangen. Fuer das gerichtliche Erbscheinsverfahren und die Auskunftsklage wird gesondert nach RVG abgerechnet, sofern keine abweichende Vereinbarung getroffen wird.</w:t>
      </w:r>
    </w:p>
    <w:p>
      <w:pPr>
        <w:pStyle w:val="Heading2"/>
      </w:pPr>
      <w:r>
        <w:t>4. Offene Punkte</w:t>
      </w:r>
    </w:p>
    <w:p>
      <w:r>
        <w:t>Es ist zu klaeren, ob Ralf Lohse im Rahmen eines Vergleichs zur Kostentragung fuer die Auskunftsklage herangezogen werden kann, falls er vorprozessual Zugang gewaehrt.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