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Konstantin Wehmeyer – Insolvenzverwalter</w:t>
        <w:br/>
        <w:t>Hansastrasse 90, 44137 Dortmund</w:t>
      </w:r>
    </w:p>
    <w:p>
      <w:pPr>
        <w:pStyle w:val="Heading1"/>
      </w:pPr>
      <w:r>
        <w:t>Aktenvermerk: Zahlungseingang aus Vergleich</w:t>
      </w:r>
    </w:p>
    <w:p>
      <w:r>
        <w:t>Az. 251 IN 74/26, Rechtsstreit 8 O 112/26</w:t>
      </w:r>
    </w:p>
    <w:p>
      <w:r>
        <w:t>Am 04.02.2027 ist der Vergleichsbetrag in Hoehe von EUR 52.000,00 auf dem Massekonto der Ruhrland Getraenkegrosshandel GmbH i.I. eingegangen.</w:t>
      </w:r>
    </w:p>
    <w:p>
      <w:r>
        <w:t>Der Vorgang ist damit erledigt und wird im Schlussbericht als realisierter Anfechtungsanspruch ausgewiesen.</w:t>
      </w:r>
    </w:p>
    <w:p>
      <w:r>
        <w:t>Dr. Konstantin Wehmeyer</w:t>
        <w:br/>
        <w:t>Rechtsanwalt, Insolvenzverwalter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