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Konstantin Wehmeyer – Insolvenzverwalter</w:t>
        <w:br/>
        <w:t>Hansastrasse 90, 44137 Dortmund</w:t>
      </w:r>
    </w:p>
    <w:p>
      <w:pPr>
        <w:pStyle w:val="Heading1"/>
      </w:pPr>
      <w:r>
        <w:t>Verteilungsverzeichnis (Auszug)</w:t>
      </w:r>
    </w:p>
    <w:p>
      <w:r>
        <w:t>Az. 251 IN 74/26</w:t>
      </w:r>
    </w:p>
    <w:p>
      <w:r>
        <w:t>Auszug aus dem Verteilungsverzeichnis der Ruhrland Getraenkegrosshandel GmbH i.I., Stand 01.03.2027.</w:t>
      </w:r>
    </w:p>
    <w:p>
      <w:r>
        <w:t>Realisierte Anfechtungsanspruche: EUR 52.000,00 (Volksbank Emscher-Hellweg eG, Vergleich vom 10.01.2027).</w:t>
      </w:r>
    </w:p>
    <w:p>
      <w:r>
        <w:t>Die Verteilungsquote fuer die Insolvenzglaeubiger erhoeht sich durch diesen Anfechtungserloes um rechnerisch 1,4 Prozentpunkte.</w:t>
      </w:r>
    </w:p>
    <w:p>
      <w:r>
        <w:t>Dr. Konstantin Wehmeyer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