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Friederike Sanftleben – Insolvenzverwalterin</w:t>
        <w:br/>
        <w:t>Bueltmannshof 12, 33602 Bielefeld</w:t>
      </w:r>
    </w:p>
    <w:p>
      <w:pPr>
        <w:pStyle w:val="Heading1"/>
      </w:pPr>
      <w:r>
        <w:t>Klageschrift</w:t>
      </w:r>
    </w:p>
    <w:p>
      <w:r>
        <w:t>Landgericht Bielefeld</w:t>
        <w:br/>
        <w:t>Kammer fuer Handelssachen</w:t>
        <w:br/>
        <w:t>Gerichtstrasse 6, 33602 Bielefeld</w:t>
      </w:r>
    </w:p>
    <w:p>
      <w:r>
        <w:t>In dem Rechtsstreit</w:t>
        <w:br/>
        <w:br/>
        <w:t>Rechtsanwaeltin Dr. Friederike Sanftleben, als Insolvenzverwalterin ueber das Vermoegen der Teutoburger Moebelwerk GmbH, Eckendorfer Strasse 145, 33609 Bielefeld</w:t>
        <w:br/>
        <w:t>– Klaegerin –</w:t>
        <w:br/>
        <w:br/>
        <w:t>gegen</w:t>
        <w:br/>
        <w:br/>
        <w:t>HebeFix Beschlagtechnik GmbH, vertreten durch die Geschaeftsfuehrerin Petra Stollberg, Poststrasse 12, 42551 Velbert</w:t>
        <w:br/>
        <w:t>– Beklagte –</w:t>
      </w:r>
    </w:p>
    <w:p>
      <w:r>
        <w:t>wird namens und im Auftrag der Klaegerin Klage erhoben mit dem Antrag,</w:t>
        <w:br/>
        <w:br/>
        <w:t>die Beklagte zu verurteilen, an die Klaegerin EUR 87.400,00 nebst Zinsen in Hoehe von 5 Prozentpunkten ueber dem Basiszinssatz seit Rechtshaengigkeit zu zahlen.</w:t>
      </w:r>
    </w:p>
    <w:p>
      <w:r>
        <w:t>Begruendung:</w:t>
        <w:br/>
        <w:br/>
        <w:t>Die Beklagte erhielt von der spaeteren Schuldnerin am 01.12.2025, 19.12.2025 und 09.01.2026 Zahlungen ueber insgesamt EUR 87.400,00 auf faellige Forderungen aus der laufenden Belieferung mit Beschlagtechnik. Die Zahlungen sind kongrunet im Sinne des Paragraf 130 Absatz 1 InsO.</w:t>
      </w:r>
    </w:p>
    <w:p>
      <w:r>
        <w:t>Die Beklagte kannte die Zahlungsunfaehigkeit der Schuldnerin im Zeitpunkt der Zahlungen. Dies ergibt sich aus dem dreistufigen Mahnlauf (02.10., 03.11., 24.11.2025), zwei Lastschriftrueckgaben mangels Deckung vom 08.10. und 22.10.2025, der E-Mail des Geschaeftsfuehrers der Schuldnerin vom 26.11.2025 ('wir koennen derzeit nur zahlen, wenn Sie liefern, sonst stehen die Baender still'), der Ratenzahlungsbitte vom 02.12.2025 sowie dem internen Vermerk des Vertriebsleiters der Beklagten vom 05.12.2025 ('Bonitaet rot, nur noch gegen Vorkasse?').</w:t>
      </w:r>
    </w:p>
    <w:p>
      <w:r>
        <w:t>Die Zahlungsunfaehigkeit der Schuldnerin bestand bereits ab dem 12.10.2025, wie sich aus der BWA-Reihe 2025 und der OPOS-Liste zum 30.11.2025 ergibt.</w:t>
      </w:r>
    </w:p>
    <w:p>
      <w:r>
        <w:t>Ein Anlagenverzeichnis ist beigefuegt (Anlagen K1 bis K9, entsprechend Aktenstuecke 04 bis 12).</w:t>
      </w:r>
    </w:p>
    <w:p>
      <w:r>
        <w:t>Dr. Friederike Sanftleben</w:t>
        <w:br/>
        <w:t>Rechtsanwaeltin, Insolvenzverwalterin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