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Sanftleben – Insolvenzverwalterin</w:t>
        <w:br/>
        <w:t>Bueltmannshof 12, 33602 Bielefeld</w:t>
      </w:r>
    </w:p>
    <w:p>
      <w:pPr>
        <w:pStyle w:val="Heading1"/>
      </w:pPr>
      <w:r>
        <w:t>Duplik der Klaegerin</w:t>
      </w:r>
    </w:p>
    <w:p>
      <w:r>
        <w:t>An das Landgericht Bielefeld – Az. 12 O 47/26</w:t>
      </w:r>
    </w:p>
    <w:p>
      <w:r>
        <w:t>In Erwiderung auf die Klageerwiderung vom 14.07.2026 wird ausgefuehrt:</w:t>
      </w:r>
    </w:p>
    <w:p>
      <w:r>
        <w:t>Die Behauptung, die Ratenzahlungsbitte habe sich nur auf eine kurzfristige Verzoegerung bezogen, steht im Widerspruch zum Wortlaut des Schreibens vom 02.12.2025, in dem die Schuldnerin selbst von einem 'seit dem Spaetsommer andauernden Liquiditaetsengpass' spricht (Aktenstueck 07). Dies ist keine kurzfristige Verzoegerung, sondern die Beschreibung einer strukturellen Krise.</w:t>
      </w:r>
    </w:p>
    <w:p>
      <w:r>
        <w:t>Die zwei vor Faelligkeit bezahlten Zwischenrechnungen aendern nichts an der Gesamtwuerdigung: Zahlungsunfaehigkeit schliesst einzelne fristgerechte Zahlungen nicht aus (BGH-Rechtsprechung zur Gesamtschau, live zu verifizieren).</w:t>
      </w:r>
    </w:p>
    <w:p>
      <w:r>
        <w:t>Die Klaegerin haelt an ihrem Vortrag zur Kenntnis der Beklagten in vollem Umfang fest und beantragt ergaenzend die Vernehmung des Vertriebsleiters Ralf Kaczmarek als Zeugen zum internen Vermerk vom 05.12.2025.</w:t>
      </w:r>
    </w:p>
    <w:p>
      <w:r>
        <w:t>Dr. Friederike Sanftleben</w:t>
        <w:br/>
        <w:t>Rechtsanwaeltin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