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Warnung Steuerberater Theo Eichbaum — Verdeckte Sacheinlage und vGA</w:t>
      </w:r>
    </w:p>
    <w:p>
      <w:pPr>
        <w:jc w:val="left"/>
      </w:pPr>
      <w:r>
        <w:t>Von:     theo.eichbaum@eichbaum-stb.de</w:t>
      </w:r>
    </w:p>
    <w:p>
      <w:pPr>
        <w:jc w:val="left"/>
      </w:pPr>
      <w:r>
        <w:t>An:      aylin.soeren@neurochain.io</w:t>
      </w:r>
    </w:p>
    <w:p>
      <w:pPr>
        <w:jc w:val="left"/>
      </w:pPr>
      <w:r>
        <w:t>CC:      jonas.kreutzberger@neurochain.io, mira.holzbach@neurochain.io</w:t>
      </w:r>
    </w:p>
    <w:p>
      <w:pPr>
        <w:jc w:val="left"/>
      </w:pPr>
      <w:r>
        <w:t>Datum:   Dienstag, 19.05.2026, 09:31 Uhr</w:t>
      </w:r>
    </w:p>
    <w:p>
      <w:pPr>
        <w:jc w:val="left"/>
      </w:pPr>
      <w:r>
        <w:t>Betreff: AW: Gründung NeuroChain Labs GmbH — steuerliche Eckpunkte und meine Bedenken</w:t>
      </w:r>
    </w:p>
    <w:p>
      <w:pPr>
        <w:jc w:val="left"/>
      </w:pPr>
      <w:r>
        <w:t>Sehr geehrte Frau Dr. Soeren,</w:t>
      </w:r>
    </w:p>
    <w:p>
      <w:pPr>
        <w:jc w:val="left"/>
      </w:pPr>
      <w:r>
        <w:t>sehr geehrter Herr Kreutzberger,</w:t>
      </w:r>
    </w:p>
    <w:p>
      <w:pPr>
        <w:jc w:val="left"/>
      </w:pPr>
      <w:r>
        <w:t>sehr geehrte Frau Holzbach,</w:t>
      </w:r>
    </w:p>
    <w:p>
      <w:pPr>
        <w:jc w:val="left"/>
      </w:pPr>
      <w:r>
        <w:t>vielen Dank für die Übermittlung des Workshop-Protokolls vom 15.05.2026 und des Prüfvermerks zur Sacheinlage. Ich fasse meine steuerliche Sicht zusammen und weise auf zwei zentrale Risiken hin, damit Sie diese vor dem Notartermin am 03.06.2026 abräumen können.</w:t>
      </w:r>
    </w:p>
    <w:p>
      <w:pPr>
        <w:pStyle w:val="Heading2"/>
      </w:pPr>
      <w:r>
        <w:rPr>
          <w:rFonts w:ascii="Times New Roman" w:hAnsi="Times New Roman"/>
        </w:rPr>
        <w:t>1. Verdeckte Sacheinlage Paragraph 19 Absatz 4 GmbHG</w:t>
      </w:r>
    </w:p>
    <w:p>
      <w:pPr>
        <w:jc w:val="left"/>
      </w:pPr>
      <w:r>
        <w:t xml:space="preserve">Sie haben sich richtig entschieden, die geplante Einbringung von Domain und Code-Repository </w:t>
      </w:r>
      <w:r>
        <w:rPr>
          <w:b/>
        </w:rPr>
        <w:t>nicht</w:t>
      </w:r>
      <w:r>
        <w:t xml:space="preserve"> als Sacheinlage zu deklarieren. Damit entfallen die formalen Pflichten des Sachgründungsberichts und der Wertbegutachtung. Allerdings besteht weiterhin das Risiko der </w:t>
      </w:r>
      <w:r>
        <w:rPr>
          <w:b/>
        </w:rPr>
        <w:t>verdeckten Sacheinlage</w:t>
      </w:r>
      <w:r>
        <w:t>, wenn folgende Konstellation eintritt:</w:t>
      </w:r>
    </w:p>
    <w:p>
      <w:pPr>
        <w:pStyle w:val="ListBullet"/>
      </w:pPr>
      <w:r>
        <w:t>Frau Holzbach zahlt 3.500 EUR Bareinlage ein,</w:t>
      </w:r>
    </w:p>
    <w:p>
      <w:pPr>
        <w:pStyle w:val="ListBullet"/>
      </w:pPr>
      <w:r>
        <w:t>die Gesellschaft erwirbt anschließend, in zeitlichem und sachlichem Zusammenhang, Domain und Repository von Frau Holzbach gegen Zahlung von rund 3.500 EUR aus der eingebrachten Bareinlage.</w:t>
      </w:r>
    </w:p>
    <w:p>
      <w:pPr>
        <w:jc w:val="left"/>
      </w:pPr>
      <w:r>
        <w:t>Folge wäre, dass die Bareinlageschuld nicht durch Erfüllung erlischt und Frau Holzbach mit dem Wert der eingebrachten Sache angerechnet wird. Differenz bliebe als Bareinlageschuld bestehen.</w:t>
      </w:r>
    </w:p>
    <w:p>
      <w:pPr>
        <w:jc w:val="left"/>
      </w:pPr>
      <w:r>
        <w:rPr>
          <w:b/>
        </w:rPr>
        <w:t>Vermeidung:</w:t>
      </w:r>
    </w:p>
    <w:p>
      <w:pPr>
        <w:pStyle w:val="ListNumber"/>
      </w:pPr>
      <w:r>
        <w:t xml:space="preserve">Die Lizenz an Domain und Repository wird </w:t>
      </w:r>
      <w:r>
        <w:rPr>
          <w:b/>
        </w:rPr>
        <w:t>unentgeltlich</w:t>
      </w:r>
      <w:r>
        <w:t xml:space="preserve"> eingeräumt. Kein zeitlicher Zusammenhang zur Einlage.</w:t>
      </w:r>
    </w:p>
    <w:p>
      <w:pPr>
        <w:pStyle w:val="ListNumber"/>
      </w:pPr>
      <w:r>
        <w:t xml:space="preserve">Ein etwaiger späterer Erwerb der Assets durch die Gesellschaft erfolgt </w:t>
      </w:r>
      <w:r>
        <w:rPr>
          <w:b/>
        </w:rPr>
        <w:t>frühestens zwölf Monate</w:t>
      </w:r>
      <w:r>
        <w:t xml:space="preserve"> nach Eintragung und </w:t>
      </w:r>
      <w:r>
        <w:rPr>
          <w:b/>
        </w:rPr>
        <w:t>nicht aus den Mitteln der Stammeinlage</w:t>
      </w:r>
      <w:r>
        <w:t>, sondern aus laufenden Mitteln. Dokumentation des Mittelflusses ist zwingend.</w:t>
      </w:r>
    </w:p>
    <w:p>
      <w:pPr>
        <w:pStyle w:val="ListNumber"/>
      </w:pPr>
      <w:r>
        <w:t>Im Lizenzvertrag wird explizit ausgeschlossen, dass die Lizenz im Zusammenhang mit der Erfüllung der Einlagepflicht steht.</w:t>
      </w:r>
    </w:p>
    <w:p>
      <w:pPr>
        <w:jc w:val="left"/>
      </w:pPr>
      <w:r>
        <w:t>Wenn Sie diese drei Punkte einhalten, sehe ich kein Risiko der verdeckten Sacheinlage.</w:t>
      </w:r>
    </w:p>
    <w:p>
      <w:pPr>
        <w:pStyle w:val="Heading2"/>
      </w:pPr>
      <w:r>
        <w:rPr>
          <w:rFonts w:ascii="Times New Roman" w:hAnsi="Times New Roman"/>
        </w:rPr>
        <w:t>2. Verdeckte Gewinnausschüttung beim späteren Erwerb</w:t>
      </w:r>
    </w:p>
    <w:p>
      <w:pPr>
        <w:jc w:val="left"/>
      </w:pPr>
      <w:r>
        <w:t xml:space="preserve">Wenn die Gesellschaft die Domain und das Repository später von Frau Holzbach erwirbt, muss der Kaufpreis </w:t>
      </w:r>
      <w:r>
        <w:rPr>
          <w:b/>
        </w:rPr>
        <w:t>marktüblich</w:t>
      </w:r>
      <w:r>
        <w:t xml:space="preserve"> sein. Andernfalls droht eine verdeckte Gewinnausschüttung (vGA) im Sinne von Paragraph 8 Absatz 3 Satz 2 KStG.</w:t>
      </w:r>
    </w:p>
    <w:p>
      <w:pPr>
        <w:jc w:val="left"/>
      </w:pPr>
      <w:r>
        <w:t>Folgen einer vGA:</w:t>
      </w:r>
    </w:p>
    <w:p>
      <w:pPr>
        <w:pStyle w:val="ListBullet"/>
      </w:pPr>
      <w:r>
        <w:t>körperschaftsteuerliche Hinzurechnung auf Ebene der Gesellschaft (Steuersatz 15 Prozent plus Soli plus Gewerbesteuer)</w:t>
      </w:r>
    </w:p>
    <w:p>
      <w:pPr>
        <w:pStyle w:val="ListBullet"/>
      </w:pPr>
      <w:r>
        <w:t>Behandlung als Kapitalertrag bei Frau Holzbach (Abgeltungssteuer 25 Prozent plus Soli)</w:t>
      </w:r>
    </w:p>
    <w:p>
      <w:pPr>
        <w:pStyle w:val="ListBullet"/>
      </w:pPr>
      <w:r>
        <w:t>Doppelbelastung</w:t>
      </w:r>
    </w:p>
    <w:p>
      <w:pPr>
        <w:jc w:val="left"/>
      </w:pPr>
      <w:r>
        <w:rPr>
          <w:b/>
        </w:rPr>
        <w:t>Vermeidung:</w:t>
      </w:r>
    </w:p>
    <w:p>
      <w:pPr>
        <w:pStyle w:val="ListNumber"/>
      </w:pPr>
      <w:r>
        <w:t>Unabhängige Bewertung der Assets vor Erwerb (Sachverständiger oder zumindest dokumentierter Marktvergleich).</w:t>
      </w:r>
    </w:p>
    <w:p>
      <w:pPr>
        <w:pStyle w:val="ListNumber"/>
      </w:pPr>
      <w:r>
        <w:t>Beschluss der Gesellschafterversammlung über den Erwerb mit Stimmenthaltung Frau Holzbachs (Insichgeschäft, Paragraph 47 Absatz 4 GmbHG).</w:t>
      </w:r>
    </w:p>
    <w:p>
      <w:pPr>
        <w:pStyle w:val="ListNumber"/>
      </w:pPr>
      <w:r>
        <w:t>Dokumentation des Kaufpreises mit Begründung.</w:t>
      </w:r>
    </w:p>
    <w:p>
      <w:pPr>
        <w:pStyle w:val="Heading2"/>
      </w:pPr>
      <w:r>
        <w:rPr>
          <w:rFonts w:ascii="Times New Roman" w:hAnsi="Times New Roman"/>
        </w:rPr>
        <w:t>3. Geschäftsführerdienstvertrag und Gehalt</w:t>
      </w:r>
    </w:p>
    <w:p>
      <w:pPr>
        <w:jc w:val="left"/>
      </w:pPr>
      <w:r>
        <w:t>Geben Sie acht beim Geschäftsführerdienstvertrag von Frau Dr. Soeren:</w:t>
      </w:r>
    </w:p>
    <w:p>
      <w:pPr>
        <w:pStyle w:val="ListBullet"/>
      </w:pPr>
      <w:r>
        <w:t xml:space="preserve">Gehalt muss </w:t>
      </w:r>
      <w:r>
        <w:rPr>
          <w:b/>
        </w:rPr>
        <w:t>angemessen</w:t>
      </w:r>
      <w:r>
        <w:t xml:space="preserve"> sein (Fremdvergleich). Ein zu hohes Gehalt führt zur vGA in Höhe der Differenz.</w:t>
      </w:r>
    </w:p>
    <w:p>
      <w:pPr>
        <w:pStyle w:val="ListBullet"/>
      </w:pPr>
      <w:r>
        <w:t>In der Anlaufphase kann das Gehalt niedriger als marktüblich angesetzt werden (z.B. 60 Prozent), das ist unkritisch.</w:t>
      </w:r>
    </w:p>
    <w:p>
      <w:pPr>
        <w:pStyle w:val="ListBullet"/>
      </w:pPr>
      <w:r>
        <w:t>Tantiemen sind möglich, aber Bemessungsgrundlage muss klar definiert sein.</w:t>
      </w:r>
    </w:p>
    <w:p>
      <w:pPr>
        <w:pStyle w:val="ListBullet"/>
      </w:pPr>
      <w:r>
        <w:t>Pensionszusagen erst nach mindestens fünf Jahren Probezeit, sonst Risiko.</w:t>
      </w:r>
    </w:p>
    <w:p>
      <w:pPr>
        <w:pStyle w:val="Heading2"/>
      </w:pPr>
      <w:r>
        <w:rPr>
          <w:rFonts w:ascii="Times New Roman" w:hAnsi="Times New Roman"/>
        </w:rPr>
        <w:t>4. Stammeinlage und Bewertungsstichtag</w:t>
      </w:r>
    </w:p>
    <w:p>
      <w:pPr>
        <w:jc w:val="left"/>
      </w:pPr>
      <w:r>
        <w:t xml:space="preserve">Wichtig: die hälftige Einzahlung des Stammkapitals (12.500 EUR) muss zum Zeitpunkt der </w:t>
      </w:r>
      <w:r>
        <w:rPr>
          <w:b/>
        </w:rPr>
        <w:t>Anmeldung beim Handelsregister</w:t>
      </w:r>
      <w:r>
        <w:t xml:space="preserve"> erfolgt und nachweisbar sein. Üblich: Geschäftsgirokonto wird vor Anmeldung eröffnet, Einzahlungen werden mit Buchungstag vor Anmeldung durchgeführt, Bankbestätigung wird der Anmeldung beigefügt.</w:t>
      </w:r>
    </w:p>
    <w:p>
      <w:pPr>
        <w:jc w:val="left"/>
      </w:pPr>
      <w:r>
        <w:t>Bei sogenanntem "Hin- und Herzahlen" (Bareinlage wird kurz nach Einzahlung wieder an Gesellschafter ausgezahlt) droht die Nichterfüllung der Einlage. Vermeiden Sie das ausdrücklich. Ein Darlehen an einen Gesellschafter ist in den ersten Monaten nach Eintragung steuerlich und gesellschaftsrechtlich besonders kritisch.</w:t>
      </w:r>
    </w:p>
    <w:p>
      <w:pPr>
        <w:pStyle w:val="Heading2"/>
      </w:pPr>
      <w:r>
        <w:rPr>
          <w:rFonts w:ascii="Times New Roman" w:hAnsi="Times New Roman"/>
        </w:rPr>
        <w:t>5. Steuerliche Erfassung und Anmeldungen</w:t>
      </w:r>
    </w:p>
    <w:p>
      <w:pPr>
        <w:jc w:val="left"/>
      </w:pPr>
      <w:r>
        <w:t>Nach Eintragung:</w:t>
      </w:r>
    </w:p>
    <w:p>
      <w:pPr>
        <w:pStyle w:val="ListBullet"/>
      </w:pPr>
      <w:r>
        <w:t>Steuerliche Erfassung beim Finanzamt für Körperschaften I, Berlin, innerhalb eines Monats.</w:t>
      </w:r>
    </w:p>
    <w:p>
      <w:pPr>
        <w:pStyle w:val="ListBullet"/>
      </w:pPr>
      <w:r>
        <w:t>Gewerbeanmeldung Bezirksamt Mitte (Online via Berlin.de).</w:t>
      </w:r>
    </w:p>
    <w:p>
      <w:pPr>
        <w:pStyle w:val="ListBullet"/>
      </w:pPr>
      <w:r>
        <w:t>Beantragung der Steuernummer und Umsatzsteuer-Identifikationsnummer.</w:t>
      </w:r>
    </w:p>
    <w:p>
      <w:pPr>
        <w:pStyle w:val="ListBullet"/>
      </w:pPr>
      <w:r>
        <w:t>Wahl der Umsatzsteuer-Voranmeldungsperiode: monatlich in den ersten beiden Kalenderjahren (gesetzlich vorgeschrieben für Neugründungen).</w:t>
      </w:r>
    </w:p>
    <w:p>
      <w:pPr>
        <w:jc w:val="left"/>
      </w:pPr>
      <w:r>
        <w:t>Sollten Sie sich für die Kleinunternehmerregelung interessieren, weise ich darauf hin, dass diese bei Umsätzen ab voraussichtlich 22.000 EUR im ersten Kalenderjahr nicht greift und für Sie ohnehin nicht passt (Cloud-Aufwand, Investorengelder).</w:t>
      </w:r>
    </w:p>
    <w:p>
      <w:pPr>
        <w:pStyle w:val="Heading2"/>
      </w:pPr>
      <w:r>
        <w:rPr>
          <w:rFonts w:ascii="Times New Roman" w:hAnsi="Times New Roman"/>
        </w:rPr>
        <w:t>6. KSt-Vorauszahlungen</w:t>
      </w:r>
    </w:p>
    <w:p>
      <w:pPr>
        <w:jc w:val="left"/>
      </w:pPr>
      <w:r>
        <w:t>In den ersten zwei Jahren keine Vorauszahlungen, sofern die Gesellschaft Verluste anzeigt. Beobachtung notwendig, sobald Erträge fließen.</w:t>
      </w:r>
    </w:p>
    <w:p>
      <w:pPr>
        <w:pStyle w:val="Heading2"/>
      </w:pPr>
      <w:r>
        <w:rPr>
          <w:rFonts w:ascii="Times New Roman" w:hAnsi="Times New Roman"/>
        </w:rPr>
        <w:t>7. Empfehlung</w:t>
      </w:r>
    </w:p>
    <w:p>
      <w:pPr>
        <w:jc w:val="left"/>
      </w:pPr>
      <w:r>
        <w:t>Vor dem Notartermin am 03.06.2026 sollten Sie:</w:t>
      </w:r>
    </w:p>
    <w:p>
      <w:pPr>
        <w:pStyle w:val="ListNumber"/>
      </w:pPr>
      <w:r>
        <w:t>Lizenzvertrag mit Frau Holzbach unterzeichnen (Datum vor Beurkundung).</w:t>
      </w:r>
    </w:p>
    <w:p>
      <w:pPr>
        <w:pStyle w:val="ListNumber"/>
      </w:pPr>
      <w:r>
        <w:t>Geschäftsgirokonto vorbereiten (Aylin als spätere Geschäftsführerin).</w:t>
      </w:r>
    </w:p>
    <w:p>
      <w:pPr>
        <w:pStyle w:val="ListNumber"/>
      </w:pPr>
      <w:r>
        <w:t>Stammeinlage ab Beurkundung sofort einzahlbar machen.</w:t>
      </w:r>
    </w:p>
    <w:p>
      <w:pPr>
        <w:pStyle w:val="ListNumber"/>
      </w:pPr>
      <w:r>
        <w:t>IP-Assignment-Vereinbarungen aller drei Gründer vorbereiten.</w:t>
      </w:r>
    </w:p>
    <w:p>
      <w:pPr>
        <w:jc w:val="left"/>
      </w:pPr>
      <w:r>
        <w:t>Bitte schicken Sie mir den finalen Satzungsentwurf und den Lizenzvertrag zur Durchsicht spätestens am Freitag, 29.05.2026.</w:t>
      </w:r>
    </w:p>
    <w:p>
      <w:pPr>
        <w:jc w:val="left"/>
      </w:pPr>
      <w:r>
        <w:t>Mit freundlichen Grüßen</w:t>
      </w:r>
    </w:p>
    <w:p>
      <w:pPr>
        <w:jc w:val="left"/>
      </w:pPr>
      <w:r>
        <w:t>Theo Eichbaum</w:t>
      </w:r>
    </w:p>
    <w:p>
      <w:pPr>
        <w:jc w:val="left"/>
      </w:pPr>
      <w:r>
        <w:t>Steuerberater, Berlin-Friedrichshain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