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C54"/>
          <w:sz w:val="25"/>
        </w:rPr>
        <w:t>Notariat Dr. Knoop &amp; Partner</w:t>
      </w:r>
    </w:p>
    <w:p>
      <w:pPr>
        <w:spacing w:after="160"/>
      </w:pPr>
      <w:r>
        <w:t>Kurfürstendamm 182, 10707 Berlin · Telefon 030 88 91 42-0</w:t>
      </w:r>
    </w:p>
    <w:p>
      <w:r>
        <w:rPr>
          <w:color w:val="555555"/>
          <w:sz w:val="18"/>
        </w:rPr>
        <w:t>Mandat: Roeschen Tech GmbH · Registergericht AG Charlottenburg · Bearbeitungsstand: 20. Juni 2026</w:t>
      </w:r>
    </w:p>
    <w:p/>
    <w:p>
      <w:pPr>
        <w:pStyle w:val="Heading1"/>
      </w:pPr>
      <w:r>
        <w:t>Notarbriefing zur Kapitalerhöhung und Registeranmeldung</w:t>
      </w:r>
    </w:p>
    <w:p>
      <w:r>
        <w:rPr>
          <w:b/>
        </w:rPr>
        <w:t>Betreff: Anmeldung der Kapitalerhöhung Class C, Satzungsänderung und neue Gesellschafterliste der Roeschen Tech GmbH.</w:t>
      </w:r>
    </w:p>
    <w:p>
      <w:r>
        <w:t>Dieses Briefing fasst die Registerrisiken zusammen, die vor einer Anmeldung geklärt werden müssen. Es ist für die Vorbesprechung mit der Geschäftsführung und den beteiligten Gesellschaftern bestimmt.</w:t>
      </w:r>
    </w:p>
    <w:p>
      <w:pPr>
        <w:pStyle w:val="Heading2"/>
      </w:pPr>
      <w:r>
        <w:t>Beschlusslage</w:t>
      </w:r>
    </w:p>
    <w:p>
      <w:r>
        <w:t>Der Beschluss vom 18. Juni 2026 wurde mit Mehrheit gefasst. Christine Linnenbach rügt fehlende Einstimmigkeit wegen Sonderrechten und droht Anfechtung sowie einstweilige Untersagung der Registeranmeldung an.</w:t>
      </w:r>
    </w:p>
    <w:p>
      <w:pPr>
        <w:pStyle w:val="Heading2"/>
      </w:pPr>
      <w:r>
        <w:t>Registerlogik</w:t>
      </w:r>
    </w:p>
    <w:p>
      <w:r>
        <w:t>Für die Anmeldung benötigt das Notariat die endgültige Satzungsfassung, die Übernahmeerklärungen, die Einzahlungsnachweise und eine Gesellschafterliste, die alte und neue Beteiligungen nachvollziehbar abbildet. Die Class-C-Rechte dürfen nicht nur im Beteiligungsvertrag stehen, wenn sie satzungsrelevant sind.</w:t>
      </w:r>
    </w:p>
    <w:p>
      <w:pPr>
        <w:pStyle w:val="Heading2"/>
      </w:pPr>
      <w:r>
        <w:t>Offene Punkte vor Beurkundung</w:t>
      </w:r>
    </w:p>
    <w:p>
      <w:r>
        <w:t>Zu klären sind Bezugsrechtsausschluss, Verwässerungsschutz der Seed-Investorin, Beiratszustimmung, wirtschaftlich Berechtigte nach Closing und die Frage, ob der Streit im Protokoll so dokumentiert wird, dass das Registergericht keinen Verdacht auf einen offensichtlichen Vollzugsmangel erhält.</w:t>
      </w:r>
    </w:p>
    <w:p>
      <w:pPr>
        <w:pStyle w:val="Heading2"/>
      </w:pPr>
      <w:r>
        <w:t>Empfehlung</w:t>
      </w:r>
    </w:p>
    <w:p>
      <w:r>
        <w:t>Die Anmeldung sollte erst erfolgen, wenn der Beiratsvermerk und eine anwaltliche Bestätigung zur Mehrheitslage vorliegen. Andernfalls droht eine Zwischenverfügung, die den Finanzierungszeitplan stärker gefährdet als eine kurze Vorabklärung.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Notarbriefing Roeschen Tech GmbH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