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C54"/>
          <w:sz w:val="25"/>
        </w:rPr>
        <w:t>Bergfeld Legal Tech Transactions</w:t>
      </w:r>
    </w:p>
    <w:p>
      <w:pPr>
        <w:spacing w:after="160"/>
      </w:pPr>
      <w:r>
        <w:t>Rechtsanwältin Jana Bergfeld · Lützowufer 24, 10785 Berlin</w:t>
      </w:r>
    </w:p>
    <w:p>
      <w:r>
        <w:rPr>
          <w:color w:val="555555"/>
          <w:sz w:val="18"/>
        </w:rPr>
        <w:t>Mandat: Roeschen Tech GmbH · Arbeitspapier IP und Open Source · Stand: 19. Juni 2026</w:t>
      </w:r>
    </w:p>
    <w:p/>
    <w:p>
      <w:pPr>
        <w:pStyle w:val="Heading1"/>
      </w:pPr>
      <w:r>
        <w:t>IP-Assignment und Open-Source-Befund</w:t>
      </w:r>
    </w:p>
    <w:p>
      <w:r>
        <w:rPr>
          <w:b/>
        </w:rPr>
        <w:t>Betreff: Zuordnung von Vorgründungs-Code, Kundenschnittstellen und Datenpartnerschaften vor Vollzug der Kapitalerhöhung.</w:t>
      </w:r>
    </w:p>
    <w:p>
      <w:r>
        <w:t>Die Investorin verlangt vor Zeichnung der Class-C-Geschäftsanteile eine belastbare Dokumentation, dass die Kernsoftware der Gesellschaft gehört und keine nicht geprüften Open-Source-Pflichten ausgelöst sind.</w:t>
      </w:r>
    </w:p>
    <w:p>
      <w:pPr>
        <w:pStyle w:val="Heading2"/>
      </w:pPr>
      <w:r>
        <w:t>Vorgründungsbeiträge</w:t>
      </w:r>
    </w:p>
    <w:p>
      <w:r>
        <w:t>Bert Schmid entwickelte den Routenalgorithmus teilweise vor Gründung in einem privaten Repository. Andrea Roesener brachte UI-Entwürfe, Kundeninterviews und die erste Produktlogik ein. Christine Linnenbach organisierte die Datenpartnerschaften, ohne dass alle Nutzungsrechte schriftlich abgetreten wurden.</w:t>
      </w:r>
    </w:p>
    <w:p>
      <w:pPr>
        <w:pStyle w:val="Heading2"/>
      </w:pPr>
      <w:r>
        <w:t>Dokumentenlage</w:t>
      </w:r>
    </w:p>
    <w:p>
      <w:r>
        <w:t>Im Datenraum liegt ein kurzer IP-Assignment-Entwurf aus 2024, aber keine vollständig gegengezeichnete Fassung aller Gründer. Für zwei freie Entwickler fehlen Werkvertrags- und Rechtekettennachweise; deren Commits betreffen Importfilter und einen Teil der Dispatch-API.</w:t>
      </w:r>
    </w:p>
    <w:p>
      <w:pPr>
        <w:pStyle w:val="Heading2"/>
      </w:pPr>
      <w:r>
        <w:t>Open-Source-Prüfung</w:t>
      </w:r>
    </w:p>
    <w:p>
      <w:r>
        <w:t>Die technische Liste nennt MIT-, Apache-2.0- und GPL-Komponenten. Kritisch ist nur die ungeklärte GPL-Bibliothek im internen Simulationstool, falls Codebestandteile in das Produkt übernommen wurden.</w:t>
      </w:r>
    </w:p>
    <w:p>
      <w:pPr>
        <w:pStyle w:val="Heading2"/>
      </w:pPr>
      <w:r>
        <w:t>Closing-Empfehlung</w:t>
      </w:r>
    </w:p>
    <w:p>
      <w:r>
        <w:t>Vor Closing sollten alle Gründer eine nachträgliche Rechteübertragung mit Garantie zur Vorbenutzung unterzeichnen. Zusätzlich sollte ein kurzer Open-Source-Scan mit Komponentenliste, Lizenzpflichten und Remediation-Vermerk in den Datenraum eingestellt werden.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IP-Arbeitspapier Roeschen Tech GmbH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C5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C5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