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C54"/>
          <w:sz w:val="25"/>
        </w:rPr>
        <w:t>Vorberg + Steinhausen Rechtsanwälte mbB</w:t>
      </w:r>
    </w:p>
    <w:p>
      <w:pPr>
        <w:spacing w:after="160"/>
      </w:pPr>
      <w:r>
        <w:t>Kurfürstendamm 213, 10719 Berlin · Insolvenzverwaltung</w:t>
      </w:r>
    </w:p>
    <w:p>
      <w:r>
        <w:rPr>
          <w:color w:val="555555"/>
          <w:sz w:val="18"/>
        </w:rPr>
        <w:t>AG Charlottenburg 36 IN 1342/26 · Schuldnerin: ChainCortex AI GmbH · Stand: 04. Juli 2026</w:t>
      </w:r>
    </w:p>
    <w:p/>
    <w:p>
      <w:pPr>
        <w:pStyle w:val="Heading1"/>
      </w:pPr>
      <w:r>
        <w:t>Übersichtsblatt, Akteneinsicht und Fristen</w:t>
      </w:r>
    </w:p>
    <w:p>
      <w:r>
        <w:rPr>
          <w:b/>
        </w:rPr>
        <w:t>Betreff: Verwertung des Geschäftsbetriebs der ChainCortex AI GmbH im Wege eines Asset Deals.</w:t>
      </w:r>
    </w:p>
    <w:p>
      <w:r>
        <w:t>Die Akte bündelt Insolvenzverfahrensunterlagen, Investorenprozess, Datenschutzprüfung, Betriebsübergang und Vollzugsdokumentation. Sie ist so sortiert, dass Gläubigerausschuss, Insolvenzgericht und Erwerberseite die Entscheidungskette nachvollziehen können.</w:t>
      </w:r>
    </w:p>
    <w:p>
      <w:pPr>
        <w:pStyle w:val="Heading2"/>
      </w:pPr>
      <w:r>
        <w:t>Fristen und Termine</w:t>
      </w:r>
    </w:p>
    <w:p>
      <w:r>
        <w:t>Eröffnung des Verfahrens: 01. April 2026. Erste Gläubigerausschusssitzung zur Verwertungsstrategie: 06. Mai 2026. Beschlussfassung zum Asset Deal: 17. Juni 2026. Closing: 01. Juli 2026, 00:00 Uhr.</w:t>
      </w:r>
    </w:p>
    <w:p>
      <w:pPr>
        <w:pStyle w:val="Heading2"/>
      </w:pPr>
      <w:r>
        <w:t>Akteneinsicht und Quellenstand</w:t>
      </w:r>
    </w:p>
    <w:p>
      <w:r>
        <w:t>Die Unterlagen stammen aus der Insolvenzakte, dem Datenraum der Schuldnerin, Auskünften der Geschäftsführung, Arbeitnehmerlisten und Vertragskopien. Bei Kundendaten, Quellcode und Arbeitsverhältnissen sind die jeweiligen Prüfvermerke maßgeblich; diese Übersicht ersetzt keine Einzelprüfung.</w:t>
      </w:r>
    </w:p>
    <w:p>
      <w:pPr>
        <w:pStyle w:val="Heading2"/>
      </w:pPr>
      <w:r>
        <w:t>Bearbeitungshinweis</w:t>
      </w:r>
    </w:p>
    <w:p>
      <w:r>
        <w:t>Die Akte enthält bewusst sowohl entscheidungsreife Unterlagen als auch Arbeitsfassungen. Für Schriftsätze oder Beschlussvorlagen ist immer zu prüfen, ob die spätere Fassung mit Datum nach dem 17. Juni 2026 vorliegt.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Insolvenzakte ChainCortex AI GmbH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C5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C5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