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C54"/>
          <w:sz w:val="25"/>
        </w:rPr>
        <w:t>Vorberg + Steinhausen Rechtsanwälte mbB</w:t>
      </w:r>
    </w:p>
    <w:p>
      <w:pPr>
        <w:spacing w:after="160"/>
      </w:pPr>
      <w:r>
        <w:t>Kurfürstendamm 213, 10719 Berlin · Telefon 030 91 20 77-0</w:t>
      </w:r>
    </w:p>
    <w:p>
      <w:r>
        <w:rPr>
          <w:color w:val="555555"/>
          <w:sz w:val="18"/>
        </w:rPr>
        <w:t>Bearbeiter: Dr. Konrad Vorberg · AG Charlottenburg 36 IN 1342/26 · Datum: 02. April 2026</w:t>
      </w:r>
    </w:p>
    <w:p/>
    <w:p>
      <w:pPr>
        <w:pStyle w:val="Heading1"/>
      </w:pPr>
      <w:r>
        <w:t>Mandatsannahme, Bestellung und Konfliktprüfung</w:t>
      </w:r>
    </w:p>
    <w:p>
      <w:r>
        <w:rPr>
          <w:b/>
        </w:rPr>
        <w:t>Betreff: ChainCortex AI GmbH, Eröffnung des Insolvenzverfahrens und Übernahme der Verwaltertätigkeit.</w:t>
      </w:r>
    </w:p>
    <w:p>
      <w:r>
        <w:t>Mit Beschluss des Amtsgerichts Charlottenburg vom 01. April 2026 wurde Rechtsanwalt Dr. Konrad Vorberg zum Insolvenzverwalter über das Vermögen der ChainCortex AI GmbH bestellt. Der Beschluss ist am 01. April 2026 um 09:18 Uhr elektronisch eingegangen.</w:t>
      </w:r>
    </w:p>
    <w:p>
      <w:pPr>
        <w:pStyle w:val="Heading2"/>
      </w:pPr>
      <w:r>
        <w:t>Erste Maßnahmen</w:t>
      </w:r>
    </w:p>
    <w:p>
      <w:r>
        <w:t>Die Kanzlei hat die Kontensicherung veranlasst, die Geschäftsführung zur Herausgabe der Datenraumzugänge aufgefordert und die Arbeitnehmerliste mit Stand 31. März 2026 angefordert. Parallel wurde geprüft, ob laufende Kundenverträge kurzfristig fortgeführt oder geordnet übertragen werden können.</w:t>
      </w:r>
    </w:p>
    <w:p>
      <w:pPr>
        <w:pStyle w:val="Heading2"/>
      </w:pPr>
      <w:r>
        <w:t>Konfliktprüfung</w:t>
      </w:r>
    </w:p>
    <w:p>
      <w:r>
        <w:t>Eine frühere Beratung der Schuldnerin besteht nicht. Zu Voracis Ventures GmbH liegt eine einmalige gesellschaftsrechtliche Anfrage aus 2023 vor, die nicht angenommen wurde. Ein mandatsrelevanter Konflikt ist nach Aktenlage nicht ersichtlich.</w:t>
      </w:r>
    </w:p>
    <w:p>
      <w:pPr>
        <w:pStyle w:val="Heading2"/>
      </w:pPr>
      <w:r>
        <w:t>Verwertungsziel</w:t>
      </w:r>
    </w:p>
    <w:p>
      <w:r>
        <w:t>Nach erster Sichtung spricht viel für eine übertragende Sanierung, weil Quellcode, Kundenstamm und Beschäftigte nur im Verbund werthaltig sind. Eine Einzelverwertung der Software würde erhebliche Datenschutz-, Rechteketten- und Wartungsrisiken auslösen.</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Mandatsannahme Insolvenzverwaltung ChainCortex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