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C54"/>
          <w:sz w:val="25"/>
        </w:rPr>
        <w:t>Vorberg + Steinhausen Rechtsanwälte mbB</w:t>
      </w:r>
    </w:p>
    <w:p>
      <w:pPr>
        <w:spacing w:after="160"/>
      </w:pPr>
      <w:r>
        <w:t>Kurfürstendamm 213, 10719 Berlin · Insolvenzverwaltung</w:t>
      </w:r>
    </w:p>
    <w:p>
      <w:r>
        <w:rPr>
          <w:color w:val="555555"/>
          <w:sz w:val="18"/>
        </w:rPr>
        <w:t>AG Charlottenburg 36 IN 1342/26 · Closing-Vermerk · Datum: 01. Juli 2026</w:t>
      </w:r>
    </w:p>
    <w:p/>
    <w:p>
      <w:pPr>
        <w:pStyle w:val="Heading1"/>
      </w:pPr>
      <w:r>
        <w:t>Closing-Memorandum Asset Deal ChainCortex</w:t>
      </w:r>
    </w:p>
    <w:p>
      <w:r>
        <w:rPr>
          <w:b/>
        </w:rPr>
        <w:t>Betreff: Vollzug des Asset-Purchase-Agreement mit Voracis Ventures GmbH zum 01. Juli 2026, 00:00 Uhr.</w:t>
      </w:r>
    </w:p>
    <w:p>
      <w:r>
        <w:t>Der Vollzug wurde am 01. Juli 2026 um 10:35 Uhr telefonisch zwischen Dr. Vorberg, RA Mathis Reuter, der Erwerberseite und dem Treuhandkonto der Notarin bestätigt. Die Zahlung des Barkaufpreises ist auf dem Anderkonto eingegangen.</w:t>
      </w:r>
    </w:p>
    <w:p>
      <w:pPr>
        <w:pStyle w:val="Heading2"/>
      </w:pPr>
      <w:r>
        <w:t>Vollzugsvoraussetzungen</w:t>
      </w:r>
    </w:p>
    <w:p>
      <w:r>
        <w:t>Vorlagen lagen vor: Zustimmung des Gläubigerausschusses, unterschriebenes Asset-Purchase-Agreement, Arbeitnehmerunterrichtungen, Liste der übergehenden Verträge, Quellcode-Übergabeprotokoll, Datenschutz-Anschreiben an Bestandskunden und Inventarliste der Hardware.</w:t>
      </w:r>
    </w:p>
    <w:p>
      <w:pPr>
        <w:pStyle w:val="Heading2"/>
      </w:pPr>
      <w:r>
        <w:t>Offene Nachläufe</w:t>
      </w:r>
    </w:p>
    <w:p>
      <w:r>
        <w:t>Noch offen sind die Rückmeldung dreier B2B-Kunden zur Vertragsüberleitung, die DPMA-Umschreibung der Marke ChainCortex, die Löschung einzelner Altzugänge des früheren CTO und die Abschlussmeldung an das Insolvenzgericht.</w:t>
      </w:r>
    </w:p>
    <w:p>
      <w:pPr>
        <w:pStyle w:val="Heading2"/>
      </w:pPr>
      <w:r>
        <w:t>Risikovermerk</w:t>
      </w:r>
    </w:p>
    <w:p>
      <w:r>
        <w:t>Der Erwerber übernimmt keinen nicht dokumentierten Alt-Datensatz. Kundendaten werden nur für aktive Verträge übertragen. Für Alt-Leads und abgelaufene Testaccounts bleibt die Schuldnerin beziehungsweise die Masse verantwortlich, soweit Löschung oder Archivierung erforderlich ist.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Closing-Memo ChainCortex Asset Deal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