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C54"/>
          <w:sz w:val="25"/>
        </w:rPr>
        <w:t>Rentenberatung Wittkamp</w:t>
      </w:r>
    </w:p>
    <w:p>
      <w:pPr>
        <w:spacing w:after="160"/>
      </w:pPr>
      <w:r>
        <w:t>Gerhard Wittkamp, Rentenberater · Obernstraße 48, 33602 Bielefeld</w:t>
      </w:r>
    </w:p>
    <w:p>
      <w:r>
        <w:rPr>
          <w:color w:val="555555"/>
          <w:sz w:val="18"/>
        </w:rPr>
        <w:t>Unser Zeichen: EW/FRG/2026-041 · Gerichtliche Vorbereitung · Stand: 02. Juli 2026</w:t>
      </w:r>
    </w:p>
    <w:p/>
    <w:p>
      <w:pPr>
        <w:pStyle w:val="Heading1"/>
      </w:pPr>
      <w:r>
        <w:t>Klagevorbereitung Sozialgericht Bielefeld</w:t>
      </w:r>
    </w:p>
    <w:p>
      <w:r>
        <w:rPr>
          <w:b/>
        </w:rPr>
        <w:t>Betreff: Eduard Klassen ./. Deutsche Rentenversicherung Westfalen wegen Vormerkung und Bewertung russischer Beschäftigungszeiten.</w:t>
      </w:r>
    </w:p>
    <w:p>
      <w:r>
        <w:t>Dieses Raster ist kein Schriftsatzentwurf, sondern die vorbereitete Arbeitsfassung für den Fall eines ablehnenden Widerspruchsbescheids. Es trennt Nachweisfragen, Bewertungsfragen und Ermessens- beziehungsweise Aufklärungspflichten.</w:t>
      </w:r>
    </w:p>
    <w:p>
      <w:pPr>
        <w:pStyle w:val="Heading2"/>
      </w:pPr>
      <w:r>
        <w:t>Streitgegenstand</w:t>
      </w:r>
    </w:p>
    <w:p>
      <w:r>
        <w:t>Anzugreifen wäre voraussichtlich die Nichtberücksichtigung der Zeiten bei SibChladProekt und SibirFleisch sowie die nur pauschale Bewertung der Zeit im Projektbüro Karasuk. Der Antrag sollte auf Vormerkung der konkret belegten Beschäftigungszeiten und Neubescheidung der Bewertung gerichtet werden.</w:t>
      </w:r>
    </w:p>
    <w:p>
      <w:pPr>
        <w:pStyle w:val="Heading2"/>
      </w:pPr>
      <w:r>
        <w:t>Tatsachenfundament</w:t>
      </w:r>
    </w:p>
    <w:p>
      <w:r>
        <w:t>Die Klageakte muss Arbeitsbuch, Archivbescheinigung, Diplomurkunde, Aufnahmeunterlagen und die eigene Erklärung des Mandanten geschlossen vorlegen. Der Berufsabstieg nach Zuzug ist nicht Streitgegenstand, erklärt aber die Beweisnot und die späte Nachreichung einzelner russischer Unterlagen.</w:t>
      </w:r>
    </w:p>
    <w:p>
      <w:pPr>
        <w:pStyle w:val="Heading2"/>
      </w:pPr>
      <w:r>
        <w:t>Beweisangebot</w:t>
      </w:r>
    </w:p>
    <w:p>
      <w:r>
        <w:t>Als Beweis kommen die beglaubigten Übersetzungen, die Originalvorlage im Termin, eine ergänzende Auskunft der Gebietsverwaltung Nowosibirsk und die Vernehmung der Ehefrau Lidia Klassen zu den verwahrten Unterlagen in Betracht.</w:t>
      </w:r>
    </w:p>
    <w:p>
      <w:pPr>
        <w:pStyle w:val="Heading2"/>
      </w:pPr>
      <w:r>
        <w:t>Schriftsatzlinie</w:t>
      </w:r>
    </w:p>
    <w:p>
      <w:r>
        <w:t>Die Begründung sollte nicht allgemein biografisch argumentieren, sondern die einzelnen Zeiträume tabellarisch mit Urkunde, Dienststelle, Tätigkeit, Bewertungsvorschlag und verbleibender Unsicherheit aufbereiten.</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Klagevorbereitung zur Rentenakte Klassen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C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C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