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sz w:val="26"/>
        </w:rPr>
        <w:t>Rentenberatung Knüppel &amp; Partner</w:t>
      </w:r>
    </w:p>
    <w:p>
      <w:r>
        <w:t>Brüderweg 11, 44135 Dortmund · Telefon 0231 44 08 72-0 · kanzlei@knueppel-rentenberatung.de</w:t>
      </w:r>
    </w:p>
    <w:p>
      <w:pPr>
        <w:spacing w:after="240"/>
      </w:pPr>
      <w:r>
        <w:rPr>
          <w:i/>
          <w:sz w:val="18"/>
        </w:rPr>
        <w:t>Unser Zeichen: BK-LU/2026-118 · Mandantin: Bäckerei Nolden GmbH · Stand: 03. Juli 2026</w:t>
      </w:r>
    </w:p>
    <w:p>
      <w:pPr>
        <w:pStyle w:val="Heading1"/>
        <w:spacing w:after="160"/>
      </w:pPr>
      <w:r>
        <w:t>Indizienmatrix Status Familienangehörige</w:t>
      </w:r>
    </w:p>
    <w:p>
      <w:r>
        <w:t>Betreff: Sozialversicherungsrechtliche Einordnung von Frau Carina Nolden und Herrn Jannes Nolden im Familienbetrieb der Bäckerei Nolden GmbH, Lünen.</w:t>
      </w:r>
    </w:p>
    <w:p>
      <w:r>
        <w:t>Die Matrix ist aus Rechnungen, Schichtplänen, Bankbuchungen, Kassenprotokollen und den Angaben der Geschäftsführung erstellt. Sie ist als Arbeitsgrundlage für die Stellungnahme im Anhörungsverfahren gedacht und trennt bewusst die einzelnen Tätigkeitsbilder, damit der Prüfdienst nicht aus Familiennähe allein auf Beschäftigung schließt.</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1701"/>
            <w:shd w:fill="EAF2F3"/>
          </w:tcPr>
          <w:p>
            <w:r>
              <w:rPr>
                <w:rFonts w:ascii="Arial" w:hAnsi="Arial"/>
                <w:b/>
                <w:sz w:val="18"/>
              </w:rPr>
              <w:t>Prüffeld</w:t>
            </w:r>
          </w:p>
        </w:tc>
        <w:tc>
          <w:tcPr>
            <w:tcW w:type="dxa" w:w="2835"/>
            <w:shd w:fill="EAF2F3"/>
          </w:tcPr>
          <w:p>
            <w:r>
              <w:rPr>
                <w:rFonts w:ascii="Arial" w:hAnsi="Arial"/>
                <w:b/>
                <w:sz w:val="18"/>
              </w:rPr>
              <w:t>Carina Nolden</w:t>
            </w:r>
          </w:p>
        </w:tc>
        <w:tc>
          <w:tcPr>
            <w:tcW w:type="dxa" w:w="2551"/>
            <w:shd w:fill="EAF2F3"/>
          </w:tcPr>
          <w:p>
            <w:r>
              <w:rPr>
                <w:rFonts w:ascii="Arial" w:hAnsi="Arial"/>
                <w:b/>
                <w:sz w:val="18"/>
              </w:rPr>
              <w:t>Jannes Nolden</w:t>
            </w:r>
          </w:p>
        </w:tc>
        <w:tc>
          <w:tcPr>
            <w:tcW w:type="dxa" w:w="2268"/>
            <w:shd w:fill="EAF2F3"/>
          </w:tcPr>
          <w:p>
            <w:r>
              <w:rPr>
                <w:rFonts w:ascii="Arial" w:hAnsi="Arial"/>
                <w:b/>
                <w:sz w:val="18"/>
              </w:rPr>
              <w:t>Belegstelle</w:t>
            </w:r>
          </w:p>
        </w:tc>
      </w:tr>
      <w:tr>
        <w:tc>
          <w:tcPr>
            <w:tcW w:type="dxa" w:w="1701"/>
            <w:vAlign w:val="top"/>
          </w:tcPr>
          <w:p>
            <w:r>
              <w:rPr>
                <w:rFonts w:ascii="Arial" w:hAnsi="Arial"/>
                <w:sz w:val="18"/>
              </w:rPr>
              <w:t>Weisungsbindung</w:t>
            </w:r>
          </w:p>
        </w:tc>
        <w:tc>
          <w:tcPr>
            <w:tcW w:type="dxa" w:w="2835"/>
            <w:vAlign w:val="top"/>
          </w:tcPr>
          <w:p>
            <w:r>
              <w:rPr>
                <w:rFonts w:ascii="Arial" w:hAnsi="Arial"/>
                <w:sz w:val="18"/>
              </w:rPr>
              <w:t>Öffnet die Filiale Münsterstraße montags bis donnerstags nach dem Wochenplan. Sortimentswechsel, Urlaubsvertretung und Öffnungszeiten werden von Dieter Nolden festgelegt.</w:t>
            </w:r>
          </w:p>
        </w:tc>
        <w:tc>
          <w:tcPr>
            <w:tcW w:type="dxa" w:w="2551"/>
            <w:vAlign w:val="top"/>
          </w:tcPr>
          <w:p>
            <w:r>
              <w:rPr>
                <w:rFonts w:ascii="Arial" w:hAnsi="Arial"/>
                <w:sz w:val="18"/>
              </w:rPr>
              <w:t>Übernimmt einzelne Wochenendmarktstände; Warenmenge und Standort werden vorher abgestimmt, Durchführung vor Ort überwiegend eigenständig.</w:t>
            </w:r>
          </w:p>
        </w:tc>
        <w:tc>
          <w:tcPr>
            <w:tcW w:type="dxa" w:w="2268"/>
            <w:vAlign w:val="top"/>
          </w:tcPr>
          <w:p>
            <w:r>
              <w:rPr>
                <w:rFonts w:ascii="Arial" w:hAnsi="Arial"/>
                <w:sz w:val="18"/>
              </w:rPr>
              <w:t>Dienstplan April bis Juni 2026, Kassenabschlusslisten, Familienchat-Ausdrucke</w:t>
            </w:r>
          </w:p>
        </w:tc>
      </w:tr>
      <w:tr>
        <w:tc>
          <w:tcPr>
            <w:tcW w:type="dxa" w:w="1701"/>
            <w:vAlign w:val="top"/>
          </w:tcPr>
          <w:p>
            <w:r>
              <w:rPr>
                <w:rFonts w:ascii="Arial" w:hAnsi="Arial"/>
                <w:sz w:val="18"/>
              </w:rPr>
              <w:t>Eingliederung</w:t>
            </w:r>
          </w:p>
        </w:tc>
        <w:tc>
          <w:tcPr>
            <w:tcW w:type="dxa" w:w="2835"/>
            <w:vAlign w:val="top"/>
          </w:tcPr>
          <w:p>
            <w:r>
              <w:rPr>
                <w:rFonts w:ascii="Arial" w:hAnsi="Arial"/>
                <w:sz w:val="18"/>
              </w:rPr>
              <w:t>Kassenzugang, Schlüsselgewalt, Teamchat und Einweisung neuer Aushilfen sprechen deutlich für eine betriebliche Einbindung.</w:t>
            </w:r>
          </w:p>
        </w:tc>
        <w:tc>
          <w:tcPr>
            <w:tcW w:type="dxa" w:w="2551"/>
            <w:vAlign w:val="top"/>
          </w:tcPr>
          <w:p>
            <w:r>
              <w:rPr>
                <w:rFonts w:ascii="Arial" w:hAnsi="Arial"/>
                <w:sz w:val="18"/>
              </w:rPr>
              <w:t>Nutzt eigenes Marktzelt und eigenes Backzubehör, rechnet aber über die Gesellschaft ab und verwendet deren Waren.</w:t>
            </w:r>
          </w:p>
        </w:tc>
        <w:tc>
          <w:tcPr>
            <w:tcW w:type="dxa" w:w="2268"/>
            <w:vAlign w:val="top"/>
          </w:tcPr>
          <w:p>
            <w:r>
              <w:rPr>
                <w:rFonts w:ascii="Arial" w:hAnsi="Arial"/>
                <w:sz w:val="18"/>
              </w:rPr>
              <w:t>Inventarliste Marktstand, Kassenzugangsliste, Rechnung Nr. 2026-04</w:t>
            </w:r>
          </w:p>
        </w:tc>
      </w:tr>
      <w:tr>
        <w:tc>
          <w:tcPr>
            <w:tcW w:type="dxa" w:w="1701"/>
            <w:vAlign w:val="top"/>
          </w:tcPr>
          <w:p>
            <w:r>
              <w:rPr>
                <w:rFonts w:ascii="Arial" w:hAnsi="Arial"/>
                <w:sz w:val="18"/>
              </w:rPr>
              <w:t>Unternehmerrisiko</w:t>
            </w:r>
          </w:p>
        </w:tc>
        <w:tc>
          <w:tcPr>
            <w:tcW w:type="dxa" w:w="2835"/>
            <w:vAlign w:val="top"/>
          </w:tcPr>
          <w:p>
            <w:r>
              <w:rPr>
                <w:rFonts w:ascii="Arial" w:hAnsi="Arial"/>
                <w:sz w:val="18"/>
              </w:rPr>
              <w:t>Monatliche Pauschale von 2.150 Euro ohne nachweisbare Ausfallhaftung; keine eigenen Mitarbeiter und keine eigene Werbung.</w:t>
            </w:r>
          </w:p>
        </w:tc>
        <w:tc>
          <w:tcPr>
            <w:tcW w:type="dxa" w:w="2551"/>
            <w:vAlign w:val="top"/>
          </w:tcPr>
          <w:p>
            <w:r>
              <w:rPr>
                <w:rFonts w:ascii="Arial" w:hAnsi="Arial"/>
                <w:sz w:val="18"/>
              </w:rPr>
              <w:t>Variable Abrechnung nach Markttag, aber kaum eigene Investitionen und kein eigenständiger Kundenstamm.</w:t>
            </w:r>
          </w:p>
        </w:tc>
        <w:tc>
          <w:tcPr>
            <w:tcW w:type="dxa" w:w="2268"/>
            <w:vAlign w:val="top"/>
          </w:tcPr>
          <w:p>
            <w:r>
              <w:rPr>
                <w:rFonts w:ascii="Arial" w:hAnsi="Arial"/>
                <w:sz w:val="18"/>
              </w:rPr>
              <w:t>Rechnungen Januar bis Mai 2026, Kontoauszug Sparkasse Lünen</w:t>
            </w:r>
          </w:p>
        </w:tc>
      </w:tr>
      <w:tr>
        <w:tc>
          <w:tcPr>
            <w:tcW w:type="dxa" w:w="1701"/>
            <w:vAlign w:val="top"/>
          </w:tcPr>
          <w:p>
            <w:r>
              <w:rPr>
                <w:rFonts w:ascii="Arial" w:hAnsi="Arial"/>
                <w:sz w:val="18"/>
              </w:rPr>
              <w:t>Familienhilfe</w:t>
            </w:r>
          </w:p>
        </w:tc>
        <w:tc>
          <w:tcPr>
            <w:tcW w:type="dxa" w:w="2835"/>
            <w:vAlign w:val="top"/>
          </w:tcPr>
          <w:p>
            <w:r>
              <w:rPr>
                <w:rFonts w:ascii="Arial" w:hAnsi="Arial"/>
                <w:sz w:val="18"/>
              </w:rPr>
              <w:t>Nach der Erkrankung der Mutter wurde die Tätigkeit zunächst als familiäre Überbrückung begonnen; seit 2024 feste Schichten und Vertretungsplanung.</w:t>
            </w:r>
          </w:p>
        </w:tc>
        <w:tc>
          <w:tcPr>
            <w:tcW w:type="dxa" w:w="2551"/>
            <w:vAlign w:val="top"/>
          </w:tcPr>
          <w:p>
            <w:r>
              <w:rPr>
                <w:rFonts w:ascii="Arial" w:hAnsi="Arial"/>
                <w:sz w:val="18"/>
              </w:rPr>
              <w:t>Einsatz bleibt stärker gelegenheitsbezogen und kann getrennt bewertet werden.</w:t>
            </w:r>
          </w:p>
        </w:tc>
        <w:tc>
          <w:tcPr>
            <w:tcW w:type="dxa" w:w="2268"/>
            <w:vAlign w:val="top"/>
          </w:tcPr>
          <w:p>
            <w:r>
              <w:rPr>
                <w:rFonts w:ascii="Arial" w:hAnsi="Arial"/>
                <w:sz w:val="18"/>
              </w:rPr>
              <w:t>Mandatsnotiz vom 29. Juni 2026, ärztliche Bescheinigung Mutter</w:t>
            </w:r>
          </w:p>
        </w:tc>
      </w:tr>
    </w:tbl>
    <w:p/>
    <w:p>
      <w:pPr>
        <w:pStyle w:val="Heading2"/>
      </w:pPr>
      <w:r>
        <w:t>Vorläufige Bewertung</w:t>
      </w:r>
    </w:p>
    <w:p>
      <w:r>
        <w:t>Für Carina Nolden überwiegen Beschäftigungsindizien, vor allem wegen dauerhafter Filialverantwortung, Kassenzugang, Dienstplaneinbindung und fehlendem eigenem Unternehmerrisiko. Die Stellungnahme sollte daher nicht pauschal Selbständigkeit behaupten, sondern zeitlich und funktional differenzieren: Büroservice und einzelne Social-Media-Leistungen sind schwächer eingegliedert, die operative Filialleitung dagegen stark.</w:t>
      </w:r>
    </w:p>
    <w:p>
      <w:r>
        <w:t>Für Jannes Nolden ist die Lage offener. Seine Markteinsätze haben selbständigere Elemente, bleiben aber wegen Warenbezug, Abrechnung und Außenauftritt der Bäckerei beweisbedürftig. Der Vortrag muss trennen, ob eine punktuelle Familienmithilfe, eine arbeitnehmerähnliche Beschäftigung oder ein echter externer Auftrag vorlag.</w:t>
      </w:r>
    </w:p>
    <w:p>
      <w:pPr>
        <w:pStyle w:val="Heading2"/>
      </w:pPr>
      <w:r>
        <w:t>Nächste Belege</w:t>
      </w:r>
    </w:p>
    <w:tbl>
      <w:tblPr>
        <w:tblStyle w:val="TableGrid"/>
        <w:tblW w:type="auto" w:w="0"/>
        <w:jc w:val="center"/>
        <w:tblLook w:firstColumn="1" w:firstRow="1" w:lastColumn="0" w:lastRow="0" w:noHBand="0" w:noVBand="1" w:val="04A0"/>
      </w:tblPr>
      <w:tblGrid>
        <w:gridCol w:w="3286"/>
        <w:gridCol w:w="3286"/>
        <w:gridCol w:w="3286"/>
      </w:tblGrid>
      <w:tr>
        <w:tc>
          <w:tcPr>
            <w:tcW w:type="dxa" w:w="2948"/>
            <w:shd w:fill="EAF2F3"/>
          </w:tcPr>
          <w:p>
            <w:r>
              <w:rPr>
                <w:rFonts w:ascii="Arial" w:hAnsi="Arial"/>
                <w:b/>
                <w:sz w:val="18"/>
              </w:rPr>
              <w:t>Unterlage</w:t>
            </w:r>
          </w:p>
        </w:tc>
        <w:tc>
          <w:tcPr>
            <w:tcW w:type="dxa" w:w="1701"/>
            <w:shd w:fill="EAF2F3"/>
          </w:tcPr>
          <w:p>
            <w:r>
              <w:rPr>
                <w:rFonts w:ascii="Arial" w:hAnsi="Arial"/>
                <w:b/>
                <w:sz w:val="18"/>
              </w:rPr>
              <w:t>Beschaffen bis</w:t>
            </w:r>
          </w:p>
        </w:tc>
        <w:tc>
          <w:tcPr>
            <w:tcW w:type="dxa" w:w="3969"/>
            <w:shd w:fill="EAF2F3"/>
          </w:tcPr>
          <w:p>
            <w:r>
              <w:rPr>
                <w:rFonts w:ascii="Arial" w:hAnsi="Arial"/>
                <w:b/>
                <w:sz w:val="18"/>
              </w:rPr>
              <w:t>Zweck</w:t>
            </w:r>
          </w:p>
        </w:tc>
      </w:tr>
      <w:tr>
        <w:tc>
          <w:tcPr>
            <w:tcW w:type="dxa" w:w="2948"/>
            <w:vAlign w:val="top"/>
          </w:tcPr>
          <w:p>
            <w:r>
              <w:rPr>
                <w:rFonts w:ascii="Arial" w:hAnsi="Arial"/>
                <w:sz w:val="18"/>
              </w:rPr>
              <w:t>Kassenrollen Münsterstraße Januar bis Juni 2026</w:t>
            </w:r>
          </w:p>
        </w:tc>
        <w:tc>
          <w:tcPr>
            <w:tcW w:type="dxa" w:w="1701"/>
            <w:vAlign w:val="top"/>
          </w:tcPr>
          <w:p>
            <w:r>
              <w:rPr>
                <w:rFonts w:ascii="Arial" w:hAnsi="Arial"/>
                <w:sz w:val="18"/>
              </w:rPr>
              <w:t>12. Juli 2026</w:t>
            </w:r>
          </w:p>
        </w:tc>
        <w:tc>
          <w:tcPr>
            <w:tcW w:type="dxa" w:w="3969"/>
            <w:vAlign w:val="top"/>
          </w:tcPr>
          <w:p>
            <w:r>
              <w:rPr>
                <w:rFonts w:ascii="Arial" w:hAnsi="Arial"/>
                <w:sz w:val="18"/>
              </w:rPr>
              <w:t>Tatsächliche Anwesenheit und eigenständige Kassenverantwortung belegen</w:t>
            </w:r>
          </w:p>
        </w:tc>
      </w:tr>
      <w:tr>
        <w:tc>
          <w:tcPr>
            <w:tcW w:type="dxa" w:w="2948"/>
            <w:vAlign w:val="top"/>
          </w:tcPr>
          <w:p>
            <w:r>
              <w:rPr>
                <w:rFonts w:ascii="Arial" w:hAnsi="Arial"/>
                <w:sz w:val="18"/>
              </w:rPr>
              <w:t>WhatsApp-Export Dienstplan Familie</w:t>
            </w:r>
          </w:p>
        </w:tc>
        <w:tc>
          <w:tcPr>
            <w:tcW w:type="dxa" w:w="1701"/>
            <w:vAlign w:val="top"/>
          </w:tcPr>
          <w:p>
            <w:r>
              <w:rPr>
                <w:rFonts w:ascii="Arial" w:hAnsi="Arial"/>
                <w:sz w:val="18"/>
              </w:rPr>
              <w:t>12. Juli 2026</w:t>
            </w:r>
          </w:p>
        </w:tc>
        <w:tc>
          <w:tcPr>
            <w:tcW w:type="dxa" w:w="3969"/>
            <w:vAlign w:val="top"/>
          </w:tcPr>
          <w:p>
            <w:r>
              <w:rPr>
                <w:rFonts w:ascii="Arial" w:hAnsi="Arial"/>
                <w:sz w:val="18"/>
              </w:rPr>
              <w:t>Weisungen, Vertretungsentscheidungen und Urlaubsabstimmung zeigen</w:t>
            </w:r>
          </w:p>
        </w:tc>
      </w:tr>
      <w:tr>
        <w:tc>
          <w:tcPr>
            <w:tcW w:type="dxa" w:w="2948"/>
            <w:vAlign w:val="top"/>
          </w:tcPr>
          <w:p>
            <w:r>
              <w:rPr>
                <w:rFonts w:ascii="Arial" w:hAnsi="Arial"/>
                <w:sz w:val="18"/>
              </w:rPr>
              <w:t>Fotos Marktstand und Belege für eigenes Zubehör</w:t>
            </w:r>
          </w:p>
        </w:tc>
        <w:tc>
          <w:tcPr>
            <w:tcW w:type="dxa" w:w="1701"/>
            <w:vAlign w:val="top"/>
          </w:tcPr>
          <w:p>
            <w:r>
              <w:rPr>
                <w:rFonts w:ascii="Arial" w:hAnsi="Arial"/>
                <w:sz w:val="18"/>
              </w:rPr>
              <w:t>15. Juli 2026</w:t>
            </w:r>
          </w:p>
        </w:tc>
        <w:tc>
          <w:tcPr>
            <w:tcW w:type="dxa" w:w="3969"/>
            <w:vAlign w:val="top"/>
          </w:tcPr>
          <w:p>
            <w:r>
              <w:rPr>
                <w:rFonts w:ascii="Arial" w:hAnsi="Arial"/>
                <w:sz w:val="18"/>
              </w:rPr>
              <w:t>Abgrenzung Jannes Nolden substantiieren</w:t>
            </w:r>
          </w:p>
        </w:tc>
      </w:tr>
    </w:tbl>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