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sz w:val="26"/>
        </w:rPr>
        <w:t>Rentenberatung Knüppel &amp; Partner</w:t>
      </w:r>
    </w:p>
    <w:p>
      <w:r>
        <w:t>Brüderweg 11, 44135 Dortmund · Telefon 0231 44 08 72-0 · kanzlei@knueppel-rentenberatung.de</w:t>
      </w:r>
    </w:p>
    <w:p>
      <w:pPr>
        <w:spacing w:after="240"/>
      </w:pPr>
      <w:r>
        <w:rPr>
          <w:i/>
          <w:sz w:val="18"/>
        </w:rPr>
        <w:t>Unser Zeichen: BK-LU/2026-118 · Gerichtliche Vorbereitung · Stand: 06. Juli 2026</w:t>
      </w:r>
    </w:p>
    <w:p>
      <w:pPr>
        <w:pStyle w:val="Heading1"/>
        <w:spacing w:after="160"/>
      </w:pPr>
      <w:r>
        <w:t>Klage- und Beitragsrisiko</w:t>
      </w:r>
    </w:p>
    <w:p>
      <w:r>
        <w:t>Betreff: Bäckerei Nolden GmbH gegen Deutsche Rentenversicherung wegen Statusfeststellung und Beitragsnachforderung für mitarbeitende Familienangehörige.</w:t>
      </w:r>
    </w:p>
    <w:p>
      <w:r>
        <w:t>Dieses Raster bereitet Widerspruch, Klage und Vergleichsgespräch vor. Es setzt voraus, dass die Behörde die Tätigkeit von Carina Nolden vollständig als abhängige Beschäftigung einordnet und die Markteinsätze von Jannes Nolden zumindest teilweise einbezieht.</w:t>
      </w:r>
    </w:p>
    <w:p>
      <w:pPr>
        <w:pStyle w:val="Heading2"/>
      </w:pPr>
      <w:r>
        <w:t>Beitragsrisiko</w:t>
      </w:r>
    </w:p>
    <w:tbl>
      <w:tblPr>
        <w:tblStyle w:val="TableGrid"/>
        <w:tblW w:type="auto" w:w="0"/>
        <w:jc w:val="center"/>
        <w:tblLook w:firstColumn="1" w:firstRow="1" w:lastColumn="0" w:lastRow="0" w:noHBand="0" w:noVBand="1" w:val="04A0"/>
      </w:tblPr>
      <w:tblGrid>
        <w:gridCol w:w="3286"/>
        <w:gridCol w:w="3286"/>
        <w:gridCol w:w="3286"/>
      </w:tblGrid>
      <w:tr>
        <w:tc>
          <w:tcPr>
            <w:tcW w:type="dxa" w:w="2381"/>
            <w:shd w:fill="EAF2F3"/>
          </w:tcPr>
          <w:p>
            <w:r>
              <w:rPr>
                <w:rFonts w:ascii="Arial" w:hAnsi="Arial"/>
                <w:b/>
                <w:sz w:val="18"/>
              </w:rPr>
              <w:t>Szenario</w:t>
            </w:r>
          </w:p>
        </w:tc>
        <w:tc>
          <w:tcPr>
            <w:tcW w:type="dxa" w:w="3061"/>
            <w:shd w:fill="EAF2F3"/>
          </w:tcPr>
          <w:p>
            <w:r>
              <w:rPr>
                <w:rFonts w:ascii="Arial" w:hAnsi="Arial"/>
                <w:b/>
                <w:sz w:val="18"/>
              </w:rPr>
              <w:t>Auswirkung</w:t>
            </w:r>
          </w:p>
        </w:tc>
        <w:tc>
          <w:tcPr>
            <w:tcW w:type="dxa" w:w="3061"/>
            <w:shd w:fill="EAF2F3"/>
          </w:tcPr>
          <w:p>
            <w:r>
              <w:rPr>
                <w:rFonts w:ascii="Arial" w:hAnsi="Arial"/>
                <w:b/>
                <w:sz w:val="18"/>
              </w:rPr>
              <w:t>Aktenstand</w:t>
            </w:r>
          </w:p>
        </w:tc>
      </w:tr>
      <w:tr>
        <w:tc>
          <w:tcPr>
            <w:tcW w:type="dxa" w:w="2381"/>
            <w:vAlign w:val="top"/>
          </w:tcPr>
          <w:p>
            <w:r>
              <w:rPr>
                <w:rFonts w:ascii="Arial" w:hAnsi="Arial"/>
                <w:sz w:val="18"/>
              </w:rPr>
              <w:t>Volle Beschäftigung ab 01. Januar 2022</w:t>
            </w:r>
          </w:p>
        </w:tc>
        <w:tc>
          <w:tcPr>
            <w:tcW w:type="dxa" w:w="3061"/>
            <w:vAlign w:val="top"/>
          </w:tcPr>
          <w:p>
            <w:r>
              <w:rPr>
                <w:rFonts w:ascii="Arial" w:hAnsi="Arial"/>
                <w:sz w:val="18"/>
              </w:rPr>
              <w:t>Gesamtsozialversicherungsbeiträge aus der Monatspauschale, Säumniszuschläge und Folgefragen zur bisherigen Rechnungsstellung.</w:t>
            </w:r>
          </w:p>
        </w:tc>
        <w:tc>
          <w:tcPr>
            <w:tcW w:type="dxa" w:w="3061"/>
            <w:vAlign w:val="top"/>
          </w:tcPr>
          <w:p>
            <w:r>
              <w:rPr>
                <w:rFonts w:ascii="Arial" w:hAnsi="Arial"/>
                <w:sz w:val="18"/>
              </w:rPr>
              <w:t>Hoher Druck, weil die Filialleitung ab 2024 dicht dokumentiert ist; für 2022 und 2023 fehlen noch Dienstpläne.</w:t>
            </w:r>
          </w:p>
        </w:tc>
      </w:tr>
      <w:tr>
        <w:tc>
          <w:tcPr>
            <w:tcW w:type="dxa" w:w="2381"/>
            <w:vAlign w:val="top"/>
          </w:tcPr>
          <w:p>
            <w:r>
              <w:rPr>
                <w:rFonts w:ascii="Arial" w:hAnsi="Arial"/>
                <w:sz w:val="18"/>
              </w:rPr>
              <w:t>Beschäftigung nur operative Filialleitung ab 01. April 2024</w:t>
            </w:r>
          </w:p>
        </w:tc>
        <w:tc>
          <w:tcPr>
            <w:tcW w:type="dxa" w:w="3061"/>
            <w:vAlign w:val="top"/>
          </w:tcPr>
          <w:p>
            <w:r>
              <w:rPr>
                <w:rFonts w:ascii="Arial" w:hAnsi="Arial"/>
                <w:sz w:val="18"/>
              </w:rPr>
              <w:t>Beitragsvolumen sinkt deutlich; Streit verlagert sich auf Abgrenzung Büroservice, Social Media und Filialschichten.</w:t>
            </w:r>
          </w:p>
        </w:tc>
        <w:tc>
          <w:tcPr>
            <w:tcW w:type="dxa" w:w="3061"/>
            <w:vAlign w:val="top"/>
          </w:tcPr>
          <w:p>
            <w:r>
              <w:rPr>
                <w:rFonts w:ascii="Arial" w:hAnsi="Arial"/>
                <w:sz w:val="18"/>
              </w:rPr>
              <w:t>Realistische Vergleichslinie, wenn die Kassen- und Chatunterlagen sauber geordnet werden.</w:t>
            </w:r>
          </w:p>
        </w:tc>
      </w:tr>
      <w:tr>
        <w:tc>
          <w:tcPr>
            <w:tcW w:type="dxa" w:w="2381"/>
            <w:vAlign w:val="top"/>
          </w:tcPr>
          <w:p>
            <w:r>
              <w:rPr>
                <w:rFonts w:ascii="Arial" w:hAnsi="Arial"/>
                <w:sz w:val="18"/>
              </w:rPr>
              <w:t>Keine Beschäftigung Jannes Nolden</w:t>
            </w:r>
          </w:p>
        </w:tc>
        <w:tc>
          <w:tcPr>
            <w:tcW w:type="dxa" w:w="3061"/>
            <w:vAlign w:val="top"/>
          </w:tcPr>
          <w:p>
            <w:r>
              <w:rPr>
                <w:rFonts w:ascii="Arial" w:hAnsi="Arial"/>
                <w:sz w:val="18"/>
              </w:rPr>
              <w:t>Marktstandumsätze bleiben außerhalb der Nachforderung; Behörde könnte aber arbeitnehmerähnliche Eingliederung prüfen.</w:t>
            </w:r>
          </w:p>
        </w:tc>
        <w:tc>
          <w:tcPr>
            <w:tcW w:type="dxa" w:w="3061"/>
            <w:vAlign w:val="top"/>
          </w:tcPr>
          <w:p>
            <w:r>
              <w:rPr>
                <w:rFonts w:ascii="Arial" w:hAnsi="Arial"/>
                <w:sz w:val="18"/>
              </w:rPr>
              <w:t>Belegbar, wenn eigenes Zubehör, freie Absagepraxis und wechselnde Einsatzorte nachgereicht werden.</w:t>
            </w:r>
          </w:p>
        </w:tc>
      </w:tr>
    </w:tbl>
    <w:p/>
    <w:p>
      <w:pPr>
        <w:pStyle w:val="Heading2"/>
      </w:pPr>
      <w:r>
        <w:t>Sozialgerichtliche Angriffspunkte</w:t>
      </w:r>
    </w:p>
    <w:p>
      <w:r>
        <w:t>Die Klage muss drei Tätigkeitsbilder getrennt darstellen: Filialleitung Münsterstraße, Büro- und Social-Media-Leistungen sowie Wochenendmarktstände. Ein pauschaler Familienstatus trägt nicht. Entscheidend sind Weisungsrecht, Eingliederung, Unternehmerrisiko, Außenauftritt und die gelebte Vertragsdurchführung.</w:t>
      </w:r>
    </w:p>
    <w:tbl>
      <w:tblPr>
        <w:tblStyle w:val="TableGrid"/>
        <w:tblW w:type="auto" w:w="0"/>
        <w:jc w:val="center"/>
        <w:tblLook w:firstColumn="1" w:firstRow="1" w:lastColumn="0" w:lastRow="0" w:noHBand="0" w:noVBand="1" w:val="04A0"/>
      </w:tblPr>
      <w:tblGrid>
        <w:gridCol w:w="3286"/>
        <w:gridCol w:w="3286"/>
        <w:gridCol w:w="3286"/>
      </w:tblGrid>
      <w:tr>
        <w:tc>
          <w:tcPr>
            <w:tcW w:type="dxa" w:w="2381"/>
            <w:shd w:fill="EAF2F3"/>
          </w:tcPr>
          <w:p>
            <w:r>
              <w:rPr>
                <w:rFonts w:ascii="Arial" w:hAnsi="Arial"/>
                <w:b/>
                <w:sz w:val="18"/>
              </w:rPr>
              <w:t>Angriffspunkt</w:t>
            </w:r>
          </w:p>
        </w:tc>
        <w:tc>
          <w:tcPr>
            <w:tcW w:type="dxa" w:w="3061"/>
            <w:shd w:fill="EAF2F3"/>
          </w:tcPr>
          <w:p>
            <w:r>
              <w:rPr>
                <w:rFonts w:ascii="Arial" w:hAnsi="Arial"/>
                <w:b/>
                <w:sz w:val="18"/>
              </w:rPr>
              <w:t>Vortrag</w:t>
            </w:r>
          </w:p>
        </w:tc>
        <w:tc>
          <w:tcPr>
            <w:tcW w:type="dxa" w:w="3061"/>
            <w:shd w:fill="EAF2F3"/>
          </w:tcPr>
          <w:p>
            <w:r>
              <w:rPr>
                <w:rFonts w:ascii="Arial" w:hAnsi="Arial"/>
                <w:b/>
                <w:sz w:val="18"/>
              </w:rPr>
              <w:t>Beweis</w:t>
            </w:r>
          </w:p>
        </w:tc>
      </w:tr>
      <w:tr>
        <w:tc>
          <w:tcPr>
            <w:tcW w:type="dxa" w:w="2381"/>
            <w:vAlign w:val="top"/>
          </w:tcPr>
          <w:p>
            <w:r>
              <w:rPr>
                <w:rFonts w:ascii="Arial" w:hAnsi="Arial"/>
                <w:sz w:val="18"/>
              </w:rPr>
              <w:t>Unzureichende Tatsachenermittlung</w:t>
            </w:r>
          </w:p>
        </w:tc>
        <w:tc>
          <w:tcPr>
            <w:tcW w:type="dxa" w:w="3061"/>
            <w:vAlign w:val="top"/>
          </w:tcPr>
          <w:p>
            <w:r>
              <w:rPr>
                <w:rFonts w:ascii="Arial" w:hAnsi="Arial"/>
                <w:sz w:val="18"/>
              </w:rPr>
              <w:t>Die Behörde hat Fremdkunden, eigene Betriebsmittel und wechselnde Markteinsätze nicht getrennt ausgewertet.</w:t>
            </w:r>
          </w:p>
        </w:tc>
        <w:tc>
          <w:tcPr>
            <w:tcW w:type="dxa" w:w="3061"/>
            <w:vAlign w:val="top"/>
          </w:tcPr>
          <w:p>
            <w:r>
              <w:rPr>
                <w:rFonts w:ascii="Arial" w:hAnsi="Arial"/>
                <w:sz w:val="18"/>
              </w:rPr>
              <w:t>Rechnungen, Marktstandfotos, Zubehörliste, Kalenderauszüge</w:t>
            </w:r>
          </w:p>
        </w:tc>
      </w:tr>
      <w:tr>
        <w:tc>
          <w:tcPr>
            <w:tcW w:type="dxa" w:w="2381"/>
            <w:vAlign w:val="top"/>
          </w:tcPr>
          <w:p>
            <w:r>
              <w:rPr>
                <w:rFonts w:ascii="Arial" w:hAnsi="Arial"/>
                <w:sz w:val="18"/>
              </w:rPr>
              <w:t>Falsche zeitliche Verdichtung</w:t>
            </w:r>
          </w:p>
        </w:tc>
        <w:tc>
          <w:tcPr>
            <w:tcW w:type="dxa" w:w="3061"/>
            <w:vAlign w:val="top"/>
          </w:tcPr>
          <w:p>
            <w:r>
              <w:rPr>
                <w:rFonts w:ascii="Arial" w:hAnsi="Arial"/>
                <w:sz w:val="18"/>
              </w:rPr>
              <w:t>Die belastenden Indizien entstehen erst mit der Erkrankung der Mutter und der festen Filialverantwortung ab 2024.</w:t>
            </w:r>
          </w:p>
        </w:tc>
        <w:tc>
          <w:tcPr>
            <w:tcW w:type="dxa" w:w="3061"/>
            <w:vAlign w:val="top"/>
          </w:tcPr>
          <w:p>
            <w:r>
              <w:rPr>
                <w:rFonts w:ascii="Arial" w:hAnsi="Arial"/>
                <w:sz w:val="18"/>
              </w:rPr>
              <w:t>Ärztliche Bescheinigung, Dienstpläne, Mandantennotiz</w:t>
            </w:r>
          </w:p>
        </w:tc>
      </w:tr>
      <w:tr>
        <w:tc>
          <w:tcPr>
            <w:tcW w:type="dxa" w:w="2381"/>
            <w:vAlign w:val="top"/>
          </w:tcPr>
          <w:p>
            <w:r>
              <w:rPr>
                <w:rFonts w:ascii="Arial" w:hAnsi="Arial"/>
                <w:sz w:val="18"/>
              </w:rPr>
              <w:t>Fehlende Differenzierung der Personen</w:t>
            </w:r>
          </w:p>
        </w:tc>
        <w:tc>
          <w:tcPr>
            <w:tcW w:type="dxa" w:w="3061"/>
            <w:vAlign w:val="top"/>
          </w:tcPr>
          <w:p>
            <w:r>
              <w:rPr>
                <w:rFonts w:ascii="Arial" w:hAnsi="Arial"/>
                <w:sz w:val="18"/>
              </w:rPr>
              <w:t>Carina und Jannes dürfen nicht schematisch gleich behandelt werden.</w:t>
            </w:r>
          </w:p>
        </w:tc>
        <w:tc>
          <w:tcPr>
            <w:tcW w:type="dxa" w:w="3061"/>
            <w:vAlign w:val="top"/>
          </w:tcPr>
          <w:p>
            <w:r>
              <w:rPr>
                <w:rFonts w:ascii="Arial" w:hAnsi="Arial"/>
                <w:sz w:val="18"/>
              </w:rPr>
              <w:t>Indizienmatrix, getrennte Zahlungsflüsse, Einsatzübersichten</w:t>
            </w:r>
          </w:p>
        </w:tc>
      </w:tr>
    </w:tbl>
    <w:p/>
    <w:p>
      <w:pPr>
        <w:pStyle w:val="Heading2"/>
      </w:pPr>
      <w:r>
        <w:t>Antrags- und Vergleichslinie</w:t>
      </w:r>
    </w:p>
    <w:p>
      <w:r>
        <w:t>Hauptantrag ist die Aufhebung des Beitragsbescheids, soweit er die Tätigkeit von Jannes Nolden und die Marktstandtage betrifft. Für Carina Nolden ist hilfsweise eine zeitliche Begrenzung und konkrete Neuberechnung der Beiträge vorzubereiten. Sinnvoll ist eine Verständigung über Zeitraum, Berechnungsgrundlage, Ratenzahlung und Säumniszuschläge, nicht über den bloßen Familienstatus.</w:t>
      </w:r>
    </w:p>
    <w:p>
      <w:pPr>
        <w:pStyle w:val="Heading2"/>
      </w:pPr>
      <w:r>
        <w:t>Offene Fristen und Unterlagen</w:t>
      </w:r>
    </w:p>
    <w:tbl>
      <w:tblPr>
        <w:tblStyle w:val="TableGrid"/>
        <w:tblW w:type="auto" w:w="0"/>
        <w:jc w:val="center"/>
        <w:tblLook w:firstColumn="1" w:firstRow="1" w:lastColumn="0" w:lastRow="0" w:noHBand="0" w:noVBand="1" w:val="04A0"/>
      </w:tblPr>
      <w:tblGrid>
        <w:gridCol w:w="3286"/>
        <w:gridCol w:w="3286"/>
        <w:gridCol w:w="3286"/>
      </w:tblGrid>
      <w:tr>
        <w:tc>
          <w:tcPr>
            <w:tcW w:type="dxa" w:w="2835"/>
            <w:shd w:fill="EAF2F3"/>
          </w:tcPr>
          <w:p>
            <w:r>
              <w:rPr>
                <w:rFonts w:ascii="Arial" w:hAnsi="Arial"/>
                <w:b/>
                <w:sz w:val="18"/>
              </w:rPr>
              <w:t>Punkt</w:t>
            </w:r>
          </w:p>
        </w:tc>
        <w:tc>
          <w:tcPr>
            <w:tcW w:type="dxa" w:w="1701"/>
            <w:shd w:fill="EAF2F3"/>
          </w:tcPr>
          <w:p>
            <w:r>
              <w:rPr>
                <w:rFonts w:ascii="Arial" w:hAnsi="Arial"/>
                <w:b/>
                <w:sz w:val="18"/>
              </w:rPr>
              <w:t>Frist</w:t>
            </w:r>
          </w:p>
        </w:tc>
        <w:tc>
          <w:tcPr>
            <w:tcW w:type="dxa" w:w="3685"/>
            <w:shd w:fill="EAF2F3"/>
          </w:tcPr>
          <w:p>
            <w:r>
              <w:rPr>
                <w:rFonts w:ascii="Arial" w:hAnsi="Arial"/>
                <w:b/>
                <w:sz w:val="18"/>
              </w:rPr>
              <w:t>Bearbeitung</w:t>
            </w:r>
          </w:p>
        </w:tc>
      </w:tr>
      <w:tr>
        <w:tc>
          <w:tcPr>
            <w:tcW w:type="dxa" w:w="2835"/>
            <w:vAlign w:val="top"/>
          </w:tcPr>
          <w:p>
            <w:r>
              <w:rPr>
                <w:rFonts w:ascii="Arial" w:hAnsi="Arial"/>
                <w:sz w:val="18"/>
              </w:rPr>
              <w:t>Widerspruchsbegründung ergänzen</w:t>
            </w:r>
          </w:p>
        </w:tc>
        <w:tc>
          <w:tcPr>
            <w:tcW w:type="dxa" w:w="1701"/>
            <w:vAlign w:val="top"/>
          </w:tcPr>
          <w:p>
            <w:r>
              <w:rPr>
                <w:rFonts w:ascii="Arial" w:hAnsi="Arial"/>
                <w:sz w:val="18"/>
              </w:rPr>
              <w:t>19. Juli 2026</w:t>
            </w:r>
          </w:p>
        </w:tc>
        <w:tc>
          <w:tcPr>
            <w:tcW w:type="dxa" w:w="3685"/>
            <w:vAlign w:val="top"/>
          </w:tcPr>
          <w:p>
            <w:r>
              <w:rPr>
                <w:rFonts w:ascii="Arial" w:hAnsi="Arial"/>
                <w:sz w:val="18"/>
              </w:rPr>
              <w:t>Indizienmatrix, Kontoauszüge und Dienstplanexport beifügen</w:t>
            </w:r>
          </w:p>
        </w:tc>
      </w:tr>
      <w:tr>
        <w:tc>
          <w:tcPr>
            <w:tcW w:type="dxa" w:w="2835"/>
            <w:vAlign w:val="top"/>
          </w:tcPr>
          <w:p>
            <w:r>
              <w:rPr>
                <w:rFonts w:ascii="Arial" w:hAnsi="Arial"/>
                <w:sz w:val="18"/>
              </w:rPr>
              <w:t>Kassenunterlagen ordnen</w:t>
            </w:r>
          </w:p>
        </w:tc>
        <w:tc>
          <w:tcPr>
            <w:tcW w:type="dxa" w:w="1701"/>
            <w:vAlign w:val="top"/>
          </w:tcPr>
          <w:p>
            <w:r>
              <w:rPr>
                <w:rFonts w:ascii="Arial" w:hAnsi="Arial"/>
                <w:sz w:val="18"/>
              </w:rPr>
              <w:t>12. Juli 2026</w:t>
            </w:r>
          </w:p>
        </w:tc>
        <w:tc>
          <w:tcPr>
            <w:tcW w:type="dxa" w:w="3685"/>
            <w:vAlign w:val="top"/>
          </w:tcPr>
          <w:p>
            <w:r>
              <w:rPr>
                <w:rFonts w:ascii="Arial" w:hAnsi="Arial"/>
                <w:sz w:val="18"/>
              </w:rPr>
              <w:t>Monatsweise Mappe mit Filiale, Datum, Schicht und Kassenzugang</w:t>
            </w:r>
          </w:p>
        </w:tc>
      </w:tr>
      <w:tr>
        <w:tc>
          <w:tcPr>
            <w:tcW w:type="dxa" w:w="2835"/>
            <w:vAlign w:val="top"/>
          </w:tcPr>
          <w:p>
            <w:r>
              <w:rPr>
                <w:rFonts w:ascii="Arial" w:hAnsi="Arial"/>
                <w:sz w:val="18"/>
              </w:rPr>
              <w:t>Vergleichsvorschlag vorbereiten</w:t>
            </w:r>
          </w:p>
        </w:tc>
        <w:tc>
          <w:tcPr>
            <w:tcW w:type="dxa" w:w="1701"/>
            <w:vAlign w:val="top"/>
          </w:tcPr>
          <w:p>
            <w:r>
              <w:rPr>
                <w:rFonts w:ascii="Arial" w:hAnsi="Arial"/>
                <w:sz w:val="18"/>
              </w:rPr>
              <w:t>Nach Akteneinsicht</w:t>
            </w:r>
          </w:p>
        </w:tc>
        <w:tc>
          <w:tcPr>
            <w:tcW w:type="dxa" w:w="3685"/>
            <w:vAlign w:val="top"/>
          </w:tcPr>
          <w:p>
            <w:r>
              <w:rPr>
                <w:rFonts w:ascii="Arial" w:hAnsi="Arial"/>
                <w:sz w:val="18"/>
              </w:rPr>
              <w:t>Beschäftigung nur Filialleitung ab 2024, Reduktion Säumniszuschläge, klare Rentenzuordnung</w:t>
            </w:r>
          </w:p>
        </w:tc>
      </w:tr>
    </w:tbl>
    <w:p/>
    <w:sectPr w:rsidR="00FC693F" w:rsidRPr="0006063C" w:rsidSect="00034616">
      <w:pgSz w:w="12240" w:h="15840"/>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