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Mainz</w:t>
      </w:r>
    </w:p>
    <w:p>
      <w:pPr>
        <w:pStyle w:val="Heading1"/>
      </w:pPr>
      <w:r>
        <w:t>Beweisbeschluss</w:t>
      </w:r>
    </w:p>
    <w:p>
      <w:r>
        <w:t>Az. 8 O 214/26</w:t>
      </w:r>
    </w:p>
    <w:p>
      <w:pPr>
        <w:pStyle w:val="Heading2"/>
      </w:pPr>
      <w:r>
        <w:t>Beschluss</w:t>
      </w:r>
    </w:p>
    <w:p>
      <w:r>
        <w:t>Es wird Beweis erhoben ueber die Frage, ob und wann die Sparkasse Weinbergland Mainz Kenntnis von der Zahlungsunfaehigkeit der Domblick Weinkellerei-Betriebs-GmbH erlangt hat, durch Vernehmung der Zeugin Sandra Vietinghoff sowie durch Einholung eines Sachverstaendigengutachtens zur Frage des Eintritts der Zahlungsunfaehigkeit.</w:t>
      </w:r>
    </w:p>
    <w:p>
      <w:r>
        <w:t>Zum Sachverstaendigen wird bestellt: Diplom-Kaufmann Reinhold Wachtel, Mainz.</w:t>
      </w:r>
    </w:p>
    <w:p/>
    <w:p>
      <w:r>
        <w:t>Die Vorsitzende Richterin am Landgericht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