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Kanzleinotiz – Erstgespräch 30.05.2025</w:t>
      </w:r>
    </w:p>
    <w:p>
      <w:pPr>
        <w:spacing w:line="259" w:lineRule="auto" w:after="60"/>
        <w:jc w:val="left"/>
      </w:pPr>
      <w:r>
        <w:t>Kanzlei: Klotzkette Rechtsanwaltsgesellschaft mbH, Potsdamer Straße 96, 10785 Berlin</w:t>
      </w:r>
    </w:p>
    <w:p>
      <w:pPr>
        <w:spacing w:before="120" w:after="60" w:line="259" w:lineRule="auto"/>
        <w:jc w:val="left"/>
      </w:pPr>
      <w:r>
        <w:rPr>
          <w:rFonts w:ascii="Times New Roman" w:hAnsi="Times New Roman"/>
          <w:b w:val="0"/>
          <w:i w:val="0"/>
          <w:sz w:val="22"/>
        </w:rPr>
        <w:t>Aktenzeichen (intern): KLK/2025/0530-ARB-KOE</w:t>
      </w:r>
    </w:p>
    <w:p>
      <w:pPr>
        <w:spacing w:before="120" w:after="60" w:line="259" w:lineRule="auto"/>
        <w:jc w:val="left"/>
      </w:pPr>
      <w:r>
        <w:rPr>
          <w:rFonts w:ascii="Times New Roman" w:hAnsi="Times New Roman"/>
          <w:b w:val="0"/>
          <w:i w:val="0"/>
          <w:sz w:val="22"/>
        </w:rPr>
        <w:t>Datum: 30.05.2025, 10:15 Uhr</w:t>
      </w:r>
    </w:p>
    <w:p>
      <w:pPr>
        <w:spacing w:before="120" w:after="60" w:line="259" w:lineRule="auto"/>
        <w:jc w:val="left"/>
      </w:pPr>
      <w:r>
        <w:rPr>
          <w:rFonts w:ascii="Times New Roman" w:hAnsi="Times New Roman"/>
          <w:b w:val="0"/>
          <w:i w:val="0"/>
          <w:sz w:val="22"/>
        </w:rPr>
        <w:t>Dauer: ca. 105 Minuten</w:t>
      </w:r>
    </w:p>
    <w:p>
      <w:pPr>
        <w:spacing w:before="120" w:after="60" w:line="259" w:lineRule="auto"/>
        <w:jc w:val="left"/>
      </w:pPr>
      <w:r>
        <w:rPr>
          <w:rFonts w:ascii="Times New Roman" w:hAnsi="Times New Roman"/>
          <w:b w:val="0"/>
          <w:i w:val="0"/>
          <w:sz w:val="22"/>
        </w:rPr>
        <w:t>Bearbeiter: RA Dr. Jonas Reuß, Fachanwalt für Arbeitsrecht</w:t>
      </w:r>
    </w:p>
    <w:p>
      <w:pPr>
        <w:spacing w:before="120" w:after="60" w:line="259" w:lineRule="auto"/>
        <w:jc w:val="left"/>
      </w:pPr>
      <w:r>
        <w:rPr>
          <w:rFonts w:ascii="Times New Roman" w:hAnsi="Times New Roman"/>
          <w:b w:val="0"/>
          <w:i w:val="0"/>
          <w:sz w:val="22"/>
        </w:rPr>
        <w:t>Mandantin: Dr. Annika Körber, Forstweg 14, 16225 Eberswalde, geb. 12.03.1978</w:t>
      </w:r>
    </w:p>
    <w:p>
      <w:pPr>
        <w:spacing w:line="259" w:lineRule="auto" w:after="60"/>
        <w:jc w:val="left"/>
      </w:pPr>
      <w:r>
        <w:t>Eingangskanal: Empfehlung über RA Dr. Mira Scheffler (Familienrecht, gleiche Kanzlei)</w:t>
      </w:r>
    </w:p>
    <w:p>
      <w:pPr>
        <w:spacing w:line="259" w:lineRule="auto" w:after="60"/>
        <w:jc w:val="left"/>
      </w:pPr>
      <w:r>
        <w:rPr>
          <w:rFonts w:ascii="Times New Roman" w:hAnsi="Times New Roman"/>
          <w:b w:val="0"/>
          <w:i w:val="0"/>
          <w:sz w:val="22"/>
        </w:rPr>
        <w:t>Vollmacht: Heute unterzeichnet, Original liegt bei Akte</w:t>
      </w:r>
    </w:p>
    <w:p>
      <w:pPr>
        <w:spacing w:line="259" w:lineRule="auto" w:after="60"/>
      </w:pPr>
    </w:p>
    <w:p>
      <w:pPr>
        <w:pStyle w:val="Heading2"/>
        <w:spacing w:line="259" w:lineRule="auto" w:after="60"/>
      </w:pPr>
      <w:r>
        <w:rPr>
          <w:rFonts w:ascii="Times New Roman" w:hAnsi="Times New Roman"/>
        </w:rPr>
        <w:t>1. Gesprächseindruck</w:t>
      </w:r>
    </w:p>
    <w:p>
      <w:pPr>
        <w:spacing w:line="259" w:lineRule="auto" w:after="60"/>
        <w:jc w:val="left"/>
      </w:pPr>
      <w:r>
        <w:t>Körber erscheint pünktlich, kommt mit einem Hängeordner und einem verschlossenen Umschlag mit Ausdrucken, die sie als „die wichtigen Sachen" bezeichnet. Wirkung: kontrolliert, aber deutlich erschöpft. Stimme brüchig beim Schildern der Mai-Ereignisse. Sie hat sichtbar Mühe, den Überblick nicht zu verlieren. Sagt eingangs: „Ich will wissen, ob ich eine Chance habe, bevor ich anfange zu kämpfen." Unterbricht sich mehrfach, um Daten nachzuschlagen. Hat eine handgeschriebene Chronologie auf drei DIN-A4-Seiten dabei.</w:t>
      </w:r>
    </w:p>
    <w:p>
      <w:pPr>
        <w:spacing w:line="259" w:lineRule="auto" w:after="60"/>
        <w:jc w:val="left"/>
      </w:pPr>
      <w:r>
        <w:t>Familäre Situation: verheiratet, zwei Kinder (14 und 9 Jahre), Ehemann Tobias Körber ist Selbständiger im Bereich Softwareentwicklung (schwankende Einkünfte). Eigentümer der Immobilie in Eberswalde.</w:t>
      </w:r>
    </w:p>
    <w:p>
      <w:pPr>
        <w:spacing w:line="259" w:lineRule="auto" w:after="60"/>
      </w:pPr>
    </w:p>
    <w:p>
      <w:pPr>
        <w:pStyle w:val="Heading2"/>
        <w:spacing w:line="259" w:lineRule="auto" w:after="60"/>
      </w:pPr>
      <w:r>
        <w:rPr>
          <w:rFonts w:ascii="Times New Roman" w:hAnsi="Times New Roman"/>
        </w:rPr>
        <w:t>2. Sachverhaltsschilderung (Körbers Perspektive)</w:t>
      </w:r>
    </w:p>
    <w:p>
      <w:pPr>
        <w:pStyle w:val="Heading3"/>
        <w:spacing w:line="259" w:lineRule="auto" w:after="60"/>
      </w:pPr>
      <w:r>
        <w:rPr>
          <w:rFonts w:ascii="Times New Roman" w:hAnsi="Times New Roman"/>
        </w:rPr>
        <w:t>2.1 Die Position</w:t>
      </w:r>
    </w:p>
    <w:p>
      <w:pPr>
        <w:spacing w:line="259" w:lineRule="auto" w:after="60"/>
        <w:jc w:val="left"/>
      </w:pPr>
      <w:r>
        <w:t>Körber ist seit 01.03.2012 bei der Steinhoff Präzisionsguss SE beschäftigt. Zunächst als Leiterin Qualitätssicherung Werk Salzgitter, dann nach Nachtrag 2018 als „Leiterin Werksinfrastruktur &amp; Prozesse" konzernweit. Seit 01.09.2021 Werkleiterin Eberswalde, Nachfolgerin von Bernd Wolters (Ruhestand). Außertariflich (AT), Vollzeit, 40 Stunden/Woche.</w:t>
      </w:r>
    </w:p>
    <w:p>
      <w:pPr>
        <w:spacing w:line="259" w:lineRule="auto" w:after="60"/>
        <w:jc w:val="left"/>
      </w:pPr>
      <w:r>
        <w:t>Zur Stellenübernahme 2021 wurde ihr mitgeteilt, die Vergütung orientiere sich an konzerninternen AT-Bändern. Wolters' Vergütung war ihr nicht bekannt. Erst im Frühjahr 2024 erfuhr sie durch ein Gespräch mit einer ausscheidenden Kollegin aus dem Rechnungswesen (Name: Cornelia Dratwa, jetzt bei Wettbewerber), dass Wolters 178.000 EUR fix + 35.000 EUR Tantieme p.a. bezog. Körber selbst: 134.000 EUR fix + 18.000 EUR Tantieme, identische Stellenbeschreibung.</w:t>
      </w:r>
    </w:p>
    <w:p>
      <w:pPr>
        <w:pStyle w:val="Heading3"/>
        <w:spacing w:line="259" w:lineRule="auto" w:after="60"/>
      </w:pPr>
      <w:r>
        <w:rPr>
          <w:rFonts w:ascii="Times New Roman" w:hAnsi="Times New Roman"/>
        </w:rPr>
        <w:t>2.2 Der Hinweis und die Konsequenzen</w:t>
      </w:r>
    </w:p>
    <w:p>
      <w:pPr>
        <w:spacing w:line="259" w:lineRule="auto" w:after="60"/>
        <w:jc w:val="left"/>
      </w:pPr>
      <w:r>
        <w:t>Im Frühjahr 2024 fiel Körber beim Abzeichnen von Quartalsberichten auf, dass Materialeinkäufe aus der Schwestergesellschaft Steinhoff Rohstoffhandel GmbH &amp; Co. KG, Bautzen, systematisch über Marktpreis abgerechnet wurden. Interne E-Mails, die ihr als Werkleiterin zugingen, deuteten auf eine Absprache zwischen Holger Branitz (HR, aber auch beteiligt an Beschaffungsfreigaben) und der Steinhoff Rohstoffhandel hin. Körber gibt an, sie habe die Auffälligkeiten zunächst intern ansprechen wollen, dann aber angesichts der Nähe von Branitz zur Geschäftsführung den externen Hinweisgeberkanal EthicsHub genutzt.</w:t>
      </w:r>
    </w:p>
    <w:p>
      <w:pPr>
        <w:spacing w:line="259" w:lineRule="auto" w:after="60"/>
        <w:jc w:val="left"/>
      </w:pPr>
      <w:r>
        <w:t>Anonyme Meldung erfolgte am 12.05.2024 über EthicsHub (externe Plattform). Rund vier Wochen später wurde sie von Dr. Lars Kemnitz, dem Justiziar, zum „persönlichen Gespräch" gebeten. Kemnitz sagte sinngemäß, es gebe „interne Erkenntnisse", die Körber eventuell interessierten, und bot ihr an, „die Situation sachlich zu klären". Körber interpretierte dies als Reidentifizierung des Hinweises. Drei weitere Gespräche folgten (Details in Aktenstück 07), der Ton wurde im Verlauf kälter. Ab Ende Juni 2024 AU wegen depressiver Episode / Burn-out.</w:t>
      </w:r>
    </w:p>
    <w:p>
      <w:pPr>
        <w:pStyle w:val="Heading3"/>
        <w:spacing w:line="259" w:lineRule="auto" w:after="60"/>
      </w:pPr>
      <w:r>
        <w:rPr>
          <w:rFonts w:ascii="Times New Roman" w:hAnsi="Times New Roman"/>
        </w:rPr>
        <w:t>2.3 Krankheitsverlauf</w:t>
      </w:r>
    </w:p>
    <w:p>
      <w:pPr>
        <w:spacing w:line="259" w:lineRule="auto" w:after="60"/>
        <w:jc w:val="left"/>
      </w:pPr>
      <w:r>
        <w:t>Erste AU ab 25.06.2024. Insgesamt fünf AU-Phasen zwischen Juli 2024 und April 2025, zusammen 84 Krankheitstage innerhalb von 12 Monaten (Details in 05_au_zeiten.csv). Betriebliches Eingliederungsmanagement (BEM) wurde ihr zu keinem Zeitpunkt angeboten. Körber hat mit Schreiben vom 29.07.2024 selbst um ein BEM-Verfahren gebeten (E-Mail an Branitz), keine inhaltliche Antwort erhalten.</w:t>
      </w:r>
    </w:p>
    <w:p>
      <w:pPr>
        <w:pStyle w:val="Heading3"/>
        <w:spacing w:line="259" w:lineRule="auto" w:after="60"/>
      </w:pPr>
      <w:r>
        <w:rPr>
          <w:rFonts w:ascii="Times New Roman" w:hAnsi="Times New Roman"/>
        </w:rPr>
        <w:t>2.4 Standortschließung und Aufhebungsvertragsdruck</w:t>
      </w:r>
    </w:p>
    <w:p>
      <w:pPr>
        <w:spacing w:line="259" w:lineRule="auto" w:after="60"/>
        <w:jc w:val="left"/>
      </w:pPr>
      <w:r>
        <w:t>Im April 2025 verkündet Steinhoff SE intern die Schließung des Werks Eberswalde zum 31.12.2025. Körber wurde am 28.04.2025 in einem Einzelgespräch durch Branitz und Geschäftsführer Steinhoff-Pertz informiert. Gleichzeitig wurde ihr ein Aufhebungsvertragsangebot übergeben. Branitz gab ihr eine Annahmefrist bis 15.05.2025.</w:t>
      </w:r>
    </w:p>
    <w:p>
      <w:pPr>
        <w:spacing w:line="259" w:lineRule="auto" w:after="60"/>
        <w:jc w:val="left"/>
      </w:pPr>
      <w:r>
        <w:t>Körber hat den Entwurf einem Steuerberater gezeigt, der auf die Eigenkündigungs-Klausel aufmerksam machte (= Sperrzeit bei ALG I). Körber lehnte am 15.05.2025 schriftlich ab.</w:t>
      </w:r>
    </w:p>
    <w:p>
      <w:pPr>
        <w:spacing w:line="259" w:lineRule="auto" w:after="60"/>
        <w:jc w:val="left"/>
      </w:pPr>
      <w:r>
        <w:t>Am 22.05.2025 erhielt sie per Boten die ordentliche Kündigung: personenbedingt wegen häufiger Kurzerkrankungen, hilfsweise betriebsbedingt wegen Standortschließung, Frist 31.12.2025. Körber hat das Schreiben am 22.05.2025 gegen 14:30 Uhr entgegengenommen, erklärt, sie habe die Botenglocke gehört und geöffnet.</w:t>
      </w:r>
    </w:p>
    <w:p>
      <w:pPr>
        <w:pStyle w:val="Heading3"/>
        <w:spacing w:line="259" w:lineRule="auto" w:after="60"/>
      </w:pPr>
      <w:r>
        <w:rPr>
          <w:rFonts w:ascii="Times New Roman" w:hAnsi="Times New Roman"/>
        </w:rPr>
        <w:t>2.5 Zusatzanmerkungen aus dem Gespräch</w:t>
      </w:r>
    </w:p>
    <w:p>
      <w:pPr>
        <w:spacing w:line="259" w:lineRule="auto" w:after="60"/>
        <w:jc w:val="left"/>
      </w:pPr>
      <w:r>
        <w:t>Befristeter Senior-Advisor-Anteil (20 % Arbeitszeit): Körber berichtet, sie habe 2023 eine schriftliche Ergänzungsvereinbarung für eine Tätigkeit als „Senior Advisor Konzernprozesse" unterzeichnet, zunächst für 6 Monate. Dann zweimal schriftlich verlängert, zuletzt (April 2024) nur mündlich. Insgesamt über 24 Monate ohne Sachgrund — Entfristung möglich.</w:t>
      </w:r>
    </w:p>
    <w:p>
      <w:pPr>
        <w:spacing w:line="259" w:lineRule="auto" w:after="60"/>
        <w:jc w:val="left"/>
      </w:pPr>
      <w:r>
        <w:t>Resturlaub: Körber hat nach eigenen Angaben noch 38 Urlaubstage. Arbeitgeber hat mit Freistellungsschreiben auf den noch ausstehenden Urlaub und die Freistellungsklausel im AT-Vertrag verwiesen, ohne konkrete Tage zu benennen.</w:t>
      </w:r>
    </w:p>
    <w:p>
      <w:pPr>
        <w:spacing w:line="259" w:lineRule="auto" w:after="60"/>
        <w:jc w:val="left"/>
      </w:pPr>
      <w:r>
        <w:t>EntgTranspG-Auskunft: Körber hatte am 04.03.2024 über den Betriebsrat (Paragraf 10 Abs. 1 EntgTranspG, da kein Betriebsrat in der Rolle des Auskunftspflichtigen) beim HR-Leiter die Vergleichsgehälter angefordert. Antwort kam erst am 14.06.2024, inhaltlich ausweichend.</w:t>
      </w:r>
    </w:p>
    <w:p>
      <w:pPr>
        <w:spacing w:line="259" w:lineRule="auto" w:after="60"/>
      </w:pPr>
    </w:p>
    <w:p>
      <w:pPr>
        <w:pStyle w:val="Heading2"/>
        <w:spacing w:line="259" w:lineRule="auto" w:after="60"/>
      </w:pPr>
      <w:r>
        <w:rPr>
          <w:rFonts w:ascii="Times New Roman" w:hAnsi="Times New Roman"/>
        </w:rPr>
        <w:t>3. Identifizierte Streitstränge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Strang</w:t>
            </w:r>
          </w:p>
        </w:tc>
        <w:tc>
          <w:tcPr>
            <w:tcW w:type="dxa" w:w="2268"/>
          </w:tcPr>
          <w:p>
            <w:r>
              <w:rPr>
                <w:rFonts w:ascii="Times New Roman" w:hAnsi="Times New Roman"/>
                <w:b/>
                <w:sz w:val="20"/>
              </w:rPr>
              <w:t>Rechtsnormen</w:t>
            </w:r>
          </w:p>
        </w:tc>
        <w:tc>
          <w:tcPr>
            <w:tcW w:type="dxa" w:w="2268"/>
          </w:tcPr>
          <w:p>
            <w:r>
              <w:rPr>
                <w:rFonts w:ascii="Times New Roman" w:hAnsi="Times New Roman"/>
                <w:b/>
                <w:sz w:val="20"/>
              </w:rPr>
              <w:t>Dringlichkeit</w:t>
            </w:r>
          </w:p>
        </w:tc>
      </w:tr>
      <w:tr>
        <w:tc>
          <w:tcPr>
            <w:tcW w:type="dxa" w:w="2268"/>
          </w:tcPr>
          <w:p>
            <w:r>
              <w:rPr>
                <w:rFonts w:ascii="Times New Roman" w:hAnsi="Times New Roman"/>
                <w:sz w:val="20"/>
              </w:rPr>
              <w:t>1</w:t>
            </w:r>
          </w:p>
        </w:tc>
        <w:tc>
          <w:tcPr>
            <w:tcW w:type="dxa" w:w="2268"/>
          </w:tcPr>
          <w:p>
            <w:r>
              <w:rPr>
                <w:rFonts w:ascii="Times New Roman" w:hAnsi="Times New Roman"/>
                <w:sz w:val="20"/>
              </w:rPr>
              <w:t>Kündigungsschutzklage (KSchG)</w:t>
            </w:r>
          </w:p>
        </w:tc>
        <w:tc>
          <w:tcPr>
            <w:tcW w:type="dxa" w:w="2268"/>
          </w:tcPr>
          <w:p>
            <w:r>
              <w:rPr>
                <w:rFonts w:ascii="Times New Roman" w:hAnsi="Times New Roman"/>
                <w:sz w:val="20"/>
              </w:rPr>
              <w:t>Paragrafen 4, 7 KSchG, Paragraf 1 KSchG (personenbedingt), Paragraf 17 KSchG (betriebsbedingt)</w:t>
            </w:r>
          </w:p>
        </w:tc>
        <w:tc>
          <w:tcPr>
            <w:tcW w:type="dxa" w:w="2268"/>
          </w:tcPr>
          <w:p>
            <w:r>
              <w:rPr>
                <w:rFonts w:ascii="Times New Roman" w:hAnsi="Times New Roman"/>
                <w:sz w:val="20"/>
              </w:rPr>
              <w:t>SOFORT – Frist 12.06.2025</w:t>
            </w:r>
          </w:p>
        </w:tc>
      </w:tr>
      <w:tr>
        <w:tc>
          <w:tcPr>
            <w:tcW w:type="dxa" w:w="2268"/>
          </w:tcPr>
          <w:p>
            <w:r>
              <w:rPr>
                <w:rFonts w:ascii="Times New Roman" w:hAnsi="Times New Roman"/>
                <w:sz w:val="20"/>
              </w:rPr>
              <w:t>2</w:t>
            </w:r>
          </w:p>
        </w:tc>
        <w:tc>
          <w:tcPr>
            <w:tcW w:type="dxa" w:w="2268"/>
          </w:tcPr>
          <w:p>
            <w:r>
              <w:rPr>
                <w:rFonts w:ascii="Times New Roman" w:hAnsi="Times New Roman"/>
                <w:sz w:val="20"/>
              </w:rPr>
              <w:t>BEM-Defizit</w:t>
            </w:r>
          </w:p>
        </w:tc>
        <w:tc>
          <w:tcPr>
            <w:tcW w:type="dxa" w:w="2268"/>
          </w:tcPr>
          <w:p>
            <w:r>
              <w:rPr>
                <w:rFonts w:ascii="Times New Roman" w:hAnsi="Times New Roman"/>
                <w:sz w:val="20"/>
              </w:rPr>
              <w:t>Paragraf 167 Abs. 2 SGB IX</w:t>
            </w:r>
          </w:p>
        </w:tc>
        <w:tc>
          <w:tcPr>
            <w:tcW w:type="dxa" w:w="2268"/>
          </w:tcPr>
          <w:p>
            <w:r>
              <w:rPr>
                <w:rFonts w:ascii="Times New Roman" w:hAnsi="Times New Roman"/>
                <w:sz w:val="20"/>
              </w:rPr>
              <w:t>Klagebegründung, stärkt Strang 1</w:t>
            </w:r>
          </w:p>
        </w:tc>
      </w:tr>
      <w:tr>
        <w:tc>
          <w:tcPr>
            <w:tcW w:type="dxa" w:w="2268"/>
          </w:tcPr>
          <w:p>
            <w:r>
              <w:rPr>
                <w:rFonts w:ascii="Times New Roman" w:hAnsi="Times New Roman"/>
                <w:sz w:val="20"/>
              </w:rPr>
              <w:t>3</w:t>
            </w:r>
          </w:p>
        </w:tc>
        <w:tc>
          <w:tcPr>
            <w:tcW w:type="dxa" w:w="2268"/>
          </w:tcPr>
          <w:p>
            <w:r>
              <w:rPr>
                <w:rFonts w:ascii="Times New Roman" w:hAnsi="Times New Roman"/>
                <w:sz w:val="20"/>
              </w:rPr>
              <w:t>Repressalie nach HinSchG</w:t>
            </w:r>
          </w:p>
        </w:tc>
        <w:tc>
          <w:tcPr>
            <w:tcW w:type="dxa" w:w="2268"/>
          </w:tcPr>
          <w:p>
            <w:r>
              <w:rPr>
                <w:rFonts w:ascii="Times New Roman" w:hAnsi="Times New Roman"/>
                <w:sz w:val="20"/>
              </w:rPr>
              <w:t>Paragraf 36 HinSchG, Paragraf 612a BGB</w:t>
            </w:r>
          </w:p>
        </w:tc>
        <w:tc>
          <w:tcPr>
            <w:tcW w:type="dxa" w:w="2268"/>
          </w:tcPr>
          <w:p>
            <w:r>
              <w:rPr>
                <w:rFonts w:ascii="Times New Roman" w:hAnsi="Times New Roman"/>
                <w:sz w:val="20"/>
              </w:rPr>
              <w:t>Klagebegründung + eigenständiger Antrag erwägen</w:t>
            </w:r>
          </w:p>
        </w:tc>
      </w:tr>
      <w:tr>
        <w:tc>
          <w:tcPr>
            <w:tcW w:type="dxa" w:w="2268"/>
          </w:tcPr>
          <w:p>
            <w:r>
              <w:rPr>
                <w:rFonts w:ascii="Times New Roman" w:hAnsi="Times New Roman"/>
                <w:sz w:val="20"/>
              </w:rPr>
              <w:t>4</w:t>
            </w:r>
          </w:p>
        </w:tc>
        <w:tc>
          <w:tcPr>
            <w:tcW w:type="dxa" w:w="2268"/>
          </w:tcPr>
          <w:p>
            <w:r>
              <w:rPr>
                <w:rFonts w:ascii="Times New Roman" w:hAnsi="Times New Roman"/>
                <w:sz w:val="20"/>
              </w:rPr>
              <w:t>Equal Pay / EntgTranspG</w:t>
            </w:r>
          </w:p>
        </w:tc>
        <w:tc>
          <w:tcPr>
            <w:tcW w:type="dxa" w:w="2268"/>
          </w:tcPr>
          <w:p>
            <w:r>
              <w:rPr>
                <w:rFonts w:ascii="Times New Roman" w:hAnsi="Times New Roman"/>
                <w:sz w:val="20"/>
              </w:rPr>
              <w:t>Paragrafen 3 Abs. 2, 7, 8 EntgTranspG, Paragraf 22 AGG</w:t>
            </w:r>
          </w:p>
        </w:tc>
        <w:tc>
          <w:tcPr>
            <w:tcW w:type="dxa" w:w="2268"/>
          </w:tcPr>
          <w:p>
            <w:r>
              <w:rPr>
                <w:rFonts w:ascii="Times New Roman" w:hAnsi="Times New Roman"/>
                <w:sz w:val="20"/>
              </w:rPr>
              <w:t>Zahlungsklage vorbereiten</w:t>
            </w:r>
          </w:p>
        </w:tc>
      </w:tr>
      <w:tr>
        <w:tc>
          <w:tcPr>
            <w:tcW w:type="dxa" w:w="2268"/>
          </w:tcPr>
          <w:p>
            <w:r>
              <w:rPr>
                <w:rFonts w:ascii="Times New Roman" w:hAnsi="Times New Roman"/>
                <w:sz w:val="20"/>
              </w:rPr>
              <w:t>5</w:t>
            </w:r>
          </w:p>
        </w:tc>
        <w:tc>
          <w:tcPr>
            <w:tcW w:type="dxa" w:w="2268"/>
          </w:tcPr>
          <w:p>
            <w:r>
              <w:rPr>
                <w:rFonts w:ascii="Times New Roman" w:hAnsi="Times New Roman"/>
                <w:sz w:val="20"/>
              </w:rPr>
              <w:t>Befristungskontrolle Senior Advisor</w:t>
            </w:r>
          </w:p>
        </w:tc>
        <w:tc>
          <w:tcPr>
            <w:tcW w:type="dxa" w:w="2268"/>
          </w:tcPr>
          <w:p>
            <w:r>
              <w:rPr>
                <w:rFonts w:ascii="Times New Roman" w:hAnsi="Times New Roman"/>
                <w:sz w:val="20"/>
              </w:rPr>
              <w:t>Paragrafen 14, 16 TzBfG</w:t>
            </w:r>
          </w:p>
        </w:tc>
        <w:tc>
          <w:tcPr>
            <w:tcW w:type="dxa" w:w="2268"/>
          </w:tcPr>
          <w:p>
            <w:r>
              <w:rPr>
                <w:rFonts w:ascii="Times New Roman" w:hAnsi="Times New Roman"/>
                <w:sz w:val="20"/>
              </w:rPr>
              <w:t>Klagefrist offen (Verhältnis besteht formal noch)</w:t>
            </w:r>
          </w:p>
        </w:tc>
      </w:tr>
      <w:tr>
        <w:tc>
          <w:tcPr>
            <w:tcW w:type="dxa" w:w="2268"/>
          </w:tcPr>
          <w:p>
            <w:r>
              <w:rPr>
                <w:rFonts w:ascii="Times New Roman" w:hAnsi="Times New Roman"/>
                <w:sz w:val="20"/>
              </w:rPr>
              <w:t>6</w:t>
            </w:r>
          </w:p>
        </w:tc>
        <w:tc>
          <w:tcPr>
            <w:tcW w:type="dxa" w:w="2268"/>
          </w:tcPr>
          <w:p>
            <w:r>
              <w:rPr>
                <w:rFonts w:ascii="Times New Roman" w:hAnsi="Times New Roman"/>
                <w:sz w:val="20"/>
              </w:rPr>
              <w:t>Resturlaub</w:t>
            </w:r>
          </w:p>
        </w:tc>
        <w:tc>
          <w:tcPr>
            <w:tcW w:type="dxa" w:w="2268"/>
          </w:tcPr>
          <w:p>
            <w:r>
              <w:rPr>
                <w:rFonts w:ascii="Times New Roman" w:hAnsi="Times New Roman"/>
                <w:sz w:val="20"/>
              </w:rPr>
              <w:t>Paragraf 7 BUrlG, Paragraf 17 KSchG (Abgeltung)</w:t>
            </w:r>
          </w:p>
        </w:tc>
        <w:tc>
          <w:tcPr>
            <w:tcW w:type="dxa" w:w="2268"/>
          </w:tcPr>
          <w:p>
            <w:r>
              <w:rPr>
                <w:rFonts w:ascii="Times New Roman" w:hAnsi="Times New Roman"/>
                <w:sz w:val="20"/>
              </w:rPr>
              <w:t>im Vergleich/Klage</w:t>
            </w:r>
          </w:p>
        </w:tc>
      </w:tr>
      <w:tr>
        <w:tc>
          <w:tcPr>
            <w:tcW w:type="dxa" w:w="2268"/>
          </w:tcPr>
          <w:p>
            <w:r>
              <w:rPr>
                <w:rFonts w:ascii="Times New Roman" w:hAnsi="Times New Roman"/>
                <w:sz w:val="20"/>
              </w:rPr>
              <w:t>7</w:t>
            </w:r>
          </w:p>
        </w:tc>
        <w:tc>
          <w:tcPr>
            <w:tcW w:type="dxa" w:w="2268"/>
          </w:tcPr>
          <w:p>
            <w:r>
              <w:rPr>
                <w:rFonts w:ascii="Times New Roman" w:hAnsi="Times New Roman"/>
                <w:sz w:val="20"/>
              </w:rPr>
              <w:t>Betriebsratsanhörung (Quorum)</w:t>
            </w:r>
          </w:p>
        </w:tc>
        <w:tc>
          <w:tcPr>
            <w:tcW w:type="dxa" w:w="2268"/>
          </w:tcPr>
          <w:p>
            <w:r>
              <w:rPr>
                <w:rFonts w:ascii="Times New Roman" w:hAnsi="Times New Roman"/>
                <w:sz w:val="20"/>
              </w:rPr>
              <w:t>Paragrafen 102, 25 BetrVG</w:t>
            </w:r>
          </w:p>
        </w:tc>
        <w:tc>
          <w:tcPr>
            <w:tcW w:type="dxa" w:w="2268"/>
          </w:tcPr>
          <w:p>
            <w:r>
              <w:rPr>
                <w:rFonts w:ascii="Times New Roman" w:hAnsi="Times New Roman"/>
                <w:sz w:val="20"/>
              </w:rPr>
              <w:t>Klagebegründung, Wirksamkeit der Kündigung</w:t>
            </w:r>
          </w:p>
        </w:tc>
      </w:tr>
      <w:tr>
        <w:tc>
          <w:tcPr>
            <w:tcW w:type="dxa" w:w="2268"/>
          </w:tcPr>
          <w:p>
            <w:r>
              <w:rPr>
                <w:rFonts w:ascii="Times New Roman" w:hAnsi="Times New Roman"/>
                <w:sz w:val="20"/>
              </w:rPr>
              <w:t>8</w:t>
            </w:r>
          </w:p>
        </w:tc>
        <w:tc>
          <w:tcPr>
            <w:tcW w:type="dxa" w:w="2268"/>
          </w:tcPr>
          <w:p>
            <w:r>
              <w:rPr>
                <w:rFonts w:ascii="Times New Roman" w:hAnsi="Times New Roman"/>
                <w:sz w:val="20"/>
              </w:rPr>
              <w:t>Massenentlassungsanzeige</w:t>
            </w:r>
          </w:p>
        </w:tc>
        <w:tc>
          <w:tcPr>
            <w:tcW w:type="dxa" w:w="2268"/>
          </w:tcPr>
          <w:p>
            <w:r>
              <w:rPr>
                <w:rFonts w:ascii="Times New Roman" w:hAnsi="Times New Roman"/>
                <w:sz w:val="20"/>
              </w:rPr>
              <w:t>Paragraf 17 KSchG, RL 98/59/EG</w:t>
            </w:r>
          </w:p>
        </w:tc>
        <w:tc>
          <w:tcPr>
            <w:tcW w:type="dxa" w:w="2268"/>
          </w:tcPr>
          <w:p>
            <w:r>
              <w:rPr>
                <w:rFonts w:ascii="Times New Roman" w:hAnsi="Times New Roman"/>
                <w:sz w:val="20"/>
              </w:rPr>
              <w:t>eigenständige Unwirksamkeit möglich</w:t>
            </w:r>
          </w:p>
        </w:tc>
      </w:tr>
      <w:tr>
        <w:tc>
          <w:tcPr>
            <w:tcW w:type="dxa" w:w="2268"/>
          </w:tcPr>
          <w:p>
            <w:r>
              <w:rPr>
                <w:rFonts w:ascii="Times New Roman" w:hAnsi="Times New Roman"/>
                <w:sz w:val="20"/>
              </w:rPr>
              <w:t>9</w:t>
            </w:r>
          </w:p>
        </w:tc>
        <w:tc>
          <w:tcPr>
            <w:tcW w:type="dxa" w:w="2268"/>
          </w:tcPr>
          <w:p>
            <w:r>
              <w:rPr>
                <w:rFonts w:ascii="Times New Roman" w:hAnsi="Times New Roman"/>
                <w:sz w:val="20"/>
              </w:rPr>
              <w:t>Aufhebungsvertragsfalle</w:t>
            </w:r>
          </w:p>
        </w:tc>
        <w:tc>
          <w:tcPr>
            <w:tcW w:type="dxa" w:w="2268"/>
          </w:tcPr>
          <w:p>
            <w:r>
              <w:rPr>
                <w:rFonts w:ascii="Times New Roman" w:hAnsi="Times New Roman"/>
                <w:sz w:val="20"/>
              </w:rPr>
              <w:t>Paragraf 134 BGB, Paragraf 138 BGB</w:t>
            </w:r>
          </w:p>
        </w:tc>
        <w:tc>
          <w:tcPr>
            <w:tcW w:type="dxa" w:w="2268"/>
          </w:tcPr>
          <w:p>
            <w:r>
              <w:rPr>
                <w:rFonts w:ascii="Times New Roman" w:hAnsi="Times New Roman"/>
                <w:sz w:val="20"/>
              </w:rPr>
              <w:t>kein Abschluss, daher nur Dokumentation</w:t>
            </w:r>
          </w:p>
        </w:tc>
      </w:tr>
    </w:tbl>
    <w:p>
      <w:pPr>
        <w:spacing w:line="259" w:lineRule="auto" w:after="60"/>
      </w:pPr>
    </w:p>
    <w:p>
      <w:pPr>
        <w:pStyle w:val="Heading2"/>
        <w:spacing w:line="259" w:lineRule="auto" w:after="60"/>
      </w:pPr>
      <w:r>
        <w:rPr>
          <w:rFonts w:ascii="Times New Roman" w:hAnsi="Times New Roman"/>
        </w:rPr>
        <w:t>4. Fristen-Übersicht (Stand 30.05.2025)</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Frist</w:t>
            </w:r>
          </w:p>
        </w:tc>
        <w:tc>
          <w:tcPr>
            <w:tcW w:type="dxa" w:w="2268"/>
          </w:tcPr>
          <w:p>
            <w:r>
              <w:rPr>
                <w:rFonts w:ascii="Times New Roman" w:hAnsi="Times New Roman"/>
                <w:b/>
                <w:sz w:val="20"/>
              </w:rPr>
              <w:t>Datum</w:t>
            </w:r>
          </w:p>
        </w:tc>
        <w:tc>
          <w:tcPr>
            <w:tcW w:type="dxa" w:w="2268"/>
          </w:tcPr>
          <w:p>
            <w:r>
              <w:rPr>
                <w:rFonts w:ascii="Times New Roman" w:hAnsi="Times New Roman"/>
                <w:b/>
                <w:sz w:val="20"/>
              </w:rPr>
              <w:t>Norm</w:t>
            </w:r>
          </w:p>
        </w:tc>
        <w:tc>
          <w:tcPr>
            <w:tcW w:type="dxa" w:w="2268"/>
          </w:tcPr>
          <w:p>
            <w:r>
              <w:rPr>
                <w:rFonts w:ascii="Times New Roman" w:hAnsi="Times New Roman"/>
                <w:b/>
                <w:sz w:val="20"/>
              </w:rPr>
              <w:t>Status</w:t>
            </w:r>
          </w:p>
        </w:tc>
      </w:tr>
      <w:tr>
        <w:tc>
          <w:tcPr>
            <w:tcW w:type="dxa" w:w="2268"/>
          </w:tcPr>
          <w:p>
            <w:r>
              <w:rPr>
                <w:rFonts w:ascii="Times New Roman" w:hAnsi="Times New Roman"/>
                <w:sz w:val="20"/>
              </w:rPr>
              <w:t>Klagefrist KSchG</w:t>
            </w:r>
          </w:p>
        </w:tc>
        <w:tc>
          <w:tcPr>
            <w:tcW w:type="dxa" w:w="2268"/>
          </w:tcPr>
          <w:p>
            <w:r>
              <w:rPr>
                <w:rFonts w:ascii="Times New Roman" w:hAnsi="Times New Roman"/>
                <w:sz w:val="20"/>
              </w:rPr>
              <w:t>12.06.2025 (Donnerstag)</w:t>
            </w:r>
          </w:p>
        </w:tc>
        <w:tc>
          <w:tcPr>
            <w:tcW w:type="dxa" w:w="2268"/>
          </w:tcPr>
          <w:p>
            <w:r>
              <w:rPr>
                <w:rFonts w:ascii="Times New Roman" w:hAnsi="Times New Roman"/>
                <w:sz w:val="20"/>
              </w:rPr>
              <w:t>Paragraf 4 KSchG</w:t>
            </w:r>
          </w:p>
        </w:tc>
        <w:tc>
          <w:tcPr>
            <w:tcW w:type="dxa" w:w="2268"/>
          </w:tcPr>
          <w:p>
            <w:r>
              <w:rPr>
                <w:rFonts w:ascii="Times New Roman" w:hAnsi="Times New Roman"/>
                <w:sz w:val="20"/>
              </w:rPr>
              <w:t xml:space="preserve">läuft — </w:t>
            </w:r>
            <w:r>
              <w:rPr>
                <w:rFonts w:ascii="Times New Roman" w:hAnsi="Times New Roman"/>
                <w:b/>
                <w:sz w:val="20"/>
              </w:rPr>
              <w:t>13 Tage</w:t>
            </w:r>
          </w:p>
        </w:tc>
      </w:tr>
      <w:tr>
        <w:tc>
          <w:tcPr>
            <w:tcW w:type="dxa" w:w="2268"/>
          </w:tcPr>
          <w:p>
            <w:r>
              <w:rPr>
                <w:rFonts w:ascii="Times New Roman" w:hAnsi="Times New Roman"/>
                <w:sz w:val="20"/>
              </w:rPr>
              <w:t>Klagefrist TzBfG Senior Advisor</w:t>
            </w:r>
          </w:p>
        </w:tc>
        <w:tc>
          <w:tcPr>
            <w:tcW w:type="dxa" w:w="2268"/>
          </w:tcPr>
          <w:p>
            <w:r>
              <w:rPr>
                <w:rFonts w:ascii="Times New Roman" w:hAnsi="Times New Roman"/>
                <w:sz w:val="20"/>
              </w:rPr>
              <w:t>noch offen, Beschäftigung läuft bis 31.12.2025</w:t>
            </w:r>
          </w:p>
        </w:tc>
        <w:tc>
          <w:tcPr>
            <w:tcW w:type="dxa" w:w="2268"/>
          </w:tcPr>
          <w:p>
            <w:r>
              <w:rPr>
                <w:rFonts w:ascii="Times New Roman" w:hAnsi="Times New Roman"/>
                <w:sz w:val="20"/>
              </w:rPr>
              <w:t>Paragraf 17 TzBfG</w:t>
            </w:r>
          </w:p>
        </w:tc>
        <w:tc>
          <w:tcPr>
            <w:tcW w:type="dxa" w:w="2268"/>
          </w:tcPr>
          <w:p>
            <w:r>
              <w:rPr>
                <w:rFonts w:ascii="Times New Roman" w:hAnsi="Times New Roman"/>
                <w:sz w:val="20"/>
              </w:rPr>
              <w:t>unkritisch, aber im Auge behalten</w:t>
            </w:r>
          </w:p>
        </w:tc>
      </w:tr>
      <w:tr>
        <w:tc>
          <w:tcPr>
            <w:tcW w:type="dxa" w:w="2268"/>
          </w:tcPr>
          <w:p>
            <w:r>
              <w:rPr>
                <w:rFonts w:ascii="Times New Roman" w:hAnsi="Times New Roman"/>
                <w:sz w:val="20"/>
              </w:rPr>
              <w:t>EntgTranspG-Frist</w:t>
            </w:r>
          </w:p>
        </w:tc>
        <w:tc>
          <w:tcPr>
            <w:tcW w:type="dxa" w:w="2268"/>
          </w:tcPr>
          <w:p>
            <w:r>
              <w:rPr>
                <w:rFonts w:ascii="Times New Roman" w:hAnsi="Times New Roman"/>
                <w:sz w:val="20"/>
              </w:rPr>
              <w:t>keine — Durchsetzung jederzeit möglich (Paragraf 15 AGG 3-Monats-Frist prüfen)</w:t>
            </w:r>
          </w:p>
        </w:tc>
        <w:tc>
          <w:tcPr>
            <w:tcW w:type="dxa" w:w="2268"/>
          </w:tcPr>
          <w:p>
            <w:r>
              <w:rPr>
                <w:rFonts w:ascii="Times New Roman" w:hAnsi="Times New Roman"/>
                <w:sz w:val="20"/>
              </w:rPr>
              <w:t>Paragraf 15 AGG</w:t>
            </w:r>
          </w:p>
        </w:tc>
        <w:tc>
          <w:tcPr>
            <w:tcW w:type="dxa" w:w="2268"/>
          </w:tcPr>
          <w:p>
            <w:r>
              <w:rPr>
                <w:rFonts w:ascii="Times New Roman" w:hAnsi="Times New Roman"/>
                <w:sz w:val="20"/>
              </w:rPr>
              <w:t>Frist läuft je nach letzter Kenntnis</w:t>
            </w:r>
          </w:p>
        </w:tc>
      </w:tr>
      <w:tr>
        <w:tc>
          <w:tcPr>
            <w:tcW w:type="dxa" w:w="2268"/>
          </w:tcPr>
          <w:p>
            <w:r>
              <w:rPr>
                <w:rFonts w:ascii="Times New Roman" w:hAnsi="Times New Roman"/>
                <w:sz w:val="20"/>
              </w:rPr>
              <w:t>Widerspruchsfrist BR</w:t>
            </w:r>
          </w:p>
        </w:tc>
        <w:tc>
          <w:tcPr>
            <w:tcW w:type="dxa" w:w="2268"/>
          </w:tcPr>
          <w:p>
            <w:r>
              <w:rPr>
                <w:rFonts w:ascii="Times New Roman" w:hAnsi="Times New Roman"/>
                <w:sz w:val="20"/>
              </w:rPr>
              <w:t>bereits gewahrt (22.05.2025)</w:t>
            </w:r>
          </w:p>
        </w:tc>
        <w:tc>
          <w:tcPr>
            <w:tcW w:type="dxa" w:w="2268"/>
          </w:tcPr>
          <w:p>
            <w:r>
              <w:rPr>
                <w:rFonts w:ascii="Times New Roman" w:hAnsi="Times New Roman"/>
                <w:sz w:val="20"/>
              </w:rPr>
              <w:t>Paragraf 102 BetrVG</w:t>
            </w:r>
          </w:p>
        </w:tc>
        <w:tc>
          <w:tcPr>
            <w:tcW w:type="dxa" w:w="2268"/>
          </w:tcPr>
          <w:p>
            <w:r>
              <w:rPr>
                <w:rFonts w:ascii="Times New Roman" w:hAnsi="Times New Roman"/>
                <w:sz w:val="20"/>
              </w:rPr>
              <w:t>abgelaufen</w:t>
            </w:r>
          </w:p>
        </w:tc>
      </w:tr>
    </w:tbl>
    <w:p>
      <w:pPr>
        <w:spacing w:line="259" w:lineRule="auto" w:after="60"/>
      </w:pPr>
    </w:p>
    <w:p>
      <w:pPr>
        <w:pStyle w:val="Heading2"/>
        <w:spacing w:line="259" w:lineRule="auto" w:after="60"/>
      </w:pPr>
      <w:r>
        <w:rPr>
          <w:rFonts w:ascii="Times New Roman" w:hAnsi="Times New Roman"/>
        </w:rPr>
        <w:t>5. Mandatsannahme</w:t>
      </w:r>
    </w:p>
    <w:p>
      <w:pPr>
        <w:spacing w:line="259" w:lineRule="auto" w:after="60"/>
        <w:jc w:val="left"/>
      </w:pPr>
      <w:r>
        <w:t>Klotzkette Rechtsanwaltsgesellschaft mbH nimmt das Mandat an. Interessenkonflikt wurde geprüft: Steinhoff Präzisionsguss SE oder verbundene Gesellschaften sind keine laufenden oder bekannten ehemaligen Mandanten. Vollmacht heute unterzeichnet.</w:t>
      </w:r>
    </w:p>
    <w:p>
      <w:pPr>
        <w:spacing w:line="259" w:lineRule="auto" w:after="60"/>
        <w:jc w:val="left"/>
      </w:pPr>
      <w:r>
        <w:t>Erstberatungshonorar: 190 EUR zzgl. MwSt., bar bezahlt, Quittung erteilt. Weitergehende Beauftragung: nach RVG auf Streitwertbasis, ggf. Ratenzahlung besprochen. RSV der Mandantin über HDI-Gerling: Schutz für Arbeitsrecht lt. Policendeckblatt vorhanden — Deckungsanfrage wird heute noch gestellt.</w:t>
      </w:r>
    </w:p>
    <w:p>
      <w:pPr>
        <w:spacing w:line="259" w:lineRule="auto" w:after="60"/>
        <w:jc w:val="left"/>
      </w:pPr>
      <w:r>
        <w:t>Nächster Schritt: Klageschrift KSchG bis spätestens 09.06.2025 (mit 3 Tagen Puffer vor Fristablauf).</w:t>
      </w:r>
    </w:p>
    <w:p>
      <w:pPr>
        <w:spacing w:line="259" w:lineRule="auto" w:after="60"/>
        <w:jc w:val="left"/>
      </w:pPr>
      <w:r>
        <w:rPr>
          <w:i/>
        </w:rPr>
        <w:t>Verfasser: RA Dr. Jonas Reuß, 30.05.2025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