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Vertragsdatum</w:t>
            </w:r>
          </w:p>
        </w:tc>
        <w:tc>
          <w:tcPr>
            <w:tcW w:type="dxa" w:w="3402"/>
            <w:vAlign w:val="center"/>
          </w:tcPr>
          <w:p>
            <w:r>
              <w:rPr>
                <w:rFonts w:ascii="Arial" w:hAnsi="Arial"/>
                <w:sz w:val="17"/>
              </w:rPr>
              <w:t>28. Februar 2012</w:t>
            </w:r>
          </w:p>
        </w:tc>
      </w:tr>
      <w:tr>
        <w:tc>
          <w:tcPr>
            <w:tcW w:type="dxa" w:w="1984"/>
            <w:vAlign w:val="center"/>
          </w:tcPr>
          <w:p>
            <w:r>
              <w:rPr>
                <w:rFonts w:ascii="Arial" w:hAnsi="Arial"/>
                <w:b/>
                <w:sz w:val="17"/>
              </w:rPr>
              <w:t>Personalnummer</w:t>
            </w:r>
          </w:p>
        </w:tc>
        <w:tc>
          <w:tcPr>
            <w:tcW w:type="dxa" w:w="3402"/>
            <w:vAlign w:val="center"/>
          </w:tcPr>
          <w:p>
            <w:r>
              <w:rPr>
                <w:rFonts w:ascii="Arial" w:hAnsi="Arial"/>
                <w:sz w:val="17"/>
              </w:rPr>
              <w:t>SPG-4471</w:t>
            </w:r>
          </w:p>
        </w:tc>
      </w:tr>
      <w:tr>
        <w:tc>
          <w:tcPr>
            <w:tcW w:type="dxa" w:w="1984"/>
            <w:vAlign w:val="center"/>
          </w:tcPr>
          <w:p>
            <w:r>
              <w:rPr>
                <w:rFonts w:ascii="Arial" w:hAnsi="Arial"/>
                <w:b/>
                <w:sz w:val="17"/>
              </w:rPr>
              <w:t>Ausfertigung</w:t>
            </w:r>
          </w:p>
        </w:tc>
        <w:tc>
          <w:tcPr>
            <w:tcW w:type="dxa" w:w="3402"/>
            <w:vAlign w:val="center"/>
          </w:tcPr>
          <w:p>
            <w:r>
              <w:rPr>
                <w:rFonts w:ascii="Arial" w:hAnsi="Arial"/>
                <w:sz w:val="17"/>
              </w:rPr>
              <w:t>Arbeitnehmerin</w:t>
            </w:r>
          </w:p>
        </w:tc>
      </w:tr>
    </w:tbl>
    <w:p/>
    <w:p>
      <w:pPr>
        <w:pStyle w:val="Title"/>
      </w:pPr>
      <w:r>
        <w:t>Außertariflicher Arbeitsvertrag</w:t>
      </w:r>
    </w:p>
    <w:p>
      <w:pPr>
        <w:pStyle w:val="Heading1"/>
      </w:pPr>
      <w:r>
        <w:t>ARBEITSVERTRAG</w:t>
      </w:r>
    </w:p>
    <w:p>
      <w:r>
        <w:t>zwischen</w:t>
      </w:r>
    </w:p>
    <w:p>
      <w:r>
        <w:t>der Steinhoff Präzisionsguss SE, Am Industriepark 1, 16225 Eberswalde, eingetragen im Handelsregister des Amtsgerichts Frankfurt (Oder) unter HRB 8812 FF, vertreten durch den Vorstandsvorsitzenden Dipl.-Kfm. Maximilian Steinhoff-Pertz,</w:t>
      </w:r>
    </w:p>
    <w:p>
      <w:r>
        <w:t>— nachfolgend „Arbeitgeber" oder „Gesellschaft" —</w:t>
      </w:r>
    </w:p>
    <w:p>
      <w:r>
        <w:t>und</w:t>
      </w:r>
    </w:p>
    <w:p>
      <w:r>
        <w:t>Frau Dr. Annika Fritzsche, geb. 12.03.1978, Schillerstraße 22, 39104 Magdeburg,</w:t>
      </w:r>
    </w:p>
    <w:p>
      <w:r>
        <w:t>— nachfolgend „Arbeitnehmerin" —</w:t>
      </w:r>
    </w:p>
    <w:p>
      <w:r>
        <w:t>Paragraf 1 Beginn, Art und Ort der Tätigkeit</w:t>
      </w:r>
    </w:p>
    <w:p>
      <w:r>
        <w:t>(1) Das Arbeitsverhältnis beginnt am 01.03.2012 und wird auf unbestimmte Zeit geschlossen.</w:t>
      </w:r>
    </w:p>
    <w:p>
      <w:r>
        <w:t>(2) Die Arbeitnehmerin wird als Leiterin Qualitätssicherung, Werk Salzgitter eingestellt. Der Arbeitsort ist zunächst das Werk Salzgitter, Hüttenstraße 48, 38226 Salzgitter.</w:t>
      </w:r>
    </w:p>
    <w:p>
      <w:r>
        <w:t>(3) Die Gesellschaft behält sich vor, der Arbeitnehmerin auch andere gleichwertige Aufgaben zu übertragen und sie an einem anderen Unternehmensstandort einzusetzen, sofern dies unter Berücksichtigung ihrer Interessen zumutbar ist.</w:t>
      </w:r>
    </w:p>
    <w:p>
      <w:r>
        <w:t>Paragraf 2 Vergütung</w:t>
      </w:r>
    </w:p>
    <w:p>
      <w:r>
        <w:t>(1) Die Arbeitnehmerin erhält ein jährliches Bruttogehalt von 84.000 EUR, zahlbar in zwölf gleichen monatlichen Raten am letzten Werktag des Monats.</w:t>
      </w:r>
    </w:p>
    <w:p>
      <w:r>
        <w:t>(2) Darüber hinaus nimmt die Arbeitnehmerin am Tantiemesystem der Gesellschaft für außertarifliche Mitarbeiter teil. Die Tantieme wird nach Maßgabe der jährlich neu festgesetzten Leistungs- und Ergebnisziele ausgeschüttet. Die maximale Tantieme beträgt 15 % des Jahresgehalts, die Mindesttantieme 0 EUR. Ein Rechtsanspruch auf eine bestimmte Tantiemehöhe besteht nicht.</w:t>
      </w:r>
    </w:p>
    <w:p>
      <w:r>
        <w:t>(3) Mit der vereinbarten Vergütung sind Überstunden und Mehrarbeit abgegolten, soweit diese 20 % der regelmäßigen monatlichen Arbeitszeit nicht überschreiten.</w:t>
      </w:r>
    </w:p>
    <w:p>
      <w:r>
        <w:t>Paragraf 3 Arbeitszeit</w:t>
      </w:r>
    </w:p>
    <w:p>
      <w:r>
        <w:t>Die regelmäßige Arbeitszeit beträgt 40 Stunden pro Woche. Beginn und Lage der Arbeitszeit richten sich nach den betrieblichen Erfordernissen; die Arbeitnehmerin stimmt sich hierzu mit der jeweiligen Werkleitung ab.</w:t>
      </w:r>
    </w:p>
    <w:p>
      <w:r>
        <w:t>Paragraf 4 Urlaub</w:t>
      </w:r>
    </w:p>
    <w:p>
      <w:r>
        <w:t>Die Arbeitnehmerin hat Anspruch auf 30 Arbeitstage bezahlten Urlaub pro Kalenderjahr. Zusatzurlaub nach Paragraf 12 SGB IX findet keine Anwendung, soweit kein GdB vorliegt.</w:t>
      </w:r>
    </w:p>
    <w:p>
      <w:r>
        <w:t>Paragraf 5 Freistellung</w:t>
      </w:r>
    </w:p>
    <w:p>
      <w:r>
        <w:t>(1) Die Gesellschaft ist berechtigt, die Arbeitnehmerin jederzeit ohne Angabe von Grund von der Verpflichtung zur Arbeitsleistung unter Fortzahlung der Vergütung freizustellen.</w:t>
      </w:r>
    </w:p>
    <w:p>
      <w:r>
        <w:t>(2) Während der Freistellung wird der Erholungsurlaub angerechnet, soweit er noch nicht gewährt ist.</w:t>
      </w:r>
    </w:p>
    <w:p>
      <w:r>
        <w:t>Anmerkung RA Reuß (30.05.2025): Paragraf 5 Abs. 1 ist als unwiderrufliche Freistellungsklausel formuliert, entspricht nicht der BAG-Rechtsprechung zur Voraussetzung der ausdrücklichen Unwiderruflichkeitserklärung; Details in Aktenstück 17.</w:t>
      </w:r>
    </w:p>
    <w:p>
      <w:r>
        <w:t>Paragraf 6 Wettbewerbsverbot</w:t>
      </w:r>
    </w:p>
    <w:p>
      <w:r>
        <w:t>(1) Für die Dauer des Arbeitsverhältnisses ist der Arbeitnehmerin untersagt, ohne vorherige schriftliche Zustimmung der Gesellschaft für ein Konkurrenzunternehmen tätig zu sein oder sich an einem solchen zu beteiligen. Als Konkurrenz gelten alle Unternehmen, die Präzisionsgusskomponenten für Maschinenbau und Automobilindustrie herstellen.</w:t>
      </w:r>
    </w:p>
    <w:p>
      <w:r>
        <w:t>(2) Ein nachvertragliches Wettbewerbsverbot wird hierdurch nicht vereinbart.</w:t>
      </w:r>
    </w:p>
    <w:p>
      <w:r>
        <w:t>Paragraf 7 Verschwiegenheitspflicht</w:t>
      </w:r>
    </w:p>
    <w:p>
      <w:r>
        <w:t>Die Arbeitnehmerin verpflichtet sich, über alle Betriebs- und Geschäftsgeheimnisse der Gesellschaft und ihrer Konzernunternehmen, die ihr im Rahmen ihrer Tätigkeit bekannt werden, auch über das Ende des Arbeitsverhältnisses hinaus Stillschweigen zu bewahren.</w:t>
      </w:r>
    </w:p>
    <w:p>
      <w:r>
        <w:t>Anmerkung RA Reuß: Reichweite prüfen — kollisionsträchtig mit HinSchG-Schutz für Körbers Hinweisgebermeldung. Paragraf 5 Abs. 3 Nr. 3 HinSchG schützt die Weitergabe von Informationen zur Aufdeckung von Verstößen.</w:t>
      </w:r>
    </w:p>
    <w:p>
      <w:r>
        <w:t>Paragraf 8 Schriftform</w:t>
      </w:r>
    </w:p>
    <w:p>
      <w:r>
        <w:t>Änderungen und Ergänzungen dieses Vertrags bedürfen der Schriftform. Mündliche Nebenabreden bestehen nicht. Der Verzicht auf das Schriftformerfordernis bedarf seinerseits der Schriftform.</w:t>
      </w:r>
    </w:p>
    <w:p>
      <w:r>
        <w:t>Paragraf 9 Anwendbares Recht</w:t>
      </w:r>
    </w:p>
    <w:p>
      <w:r>
        <w:t>Es gilt das Recht der Bundesrepublik Deutschland. Gerichtspflichtiger Gerichtsstand ist, soweit gesetzlich zulässig, das Arbeitsgericht am Unternehmenssitz.</w:t>
      </w:r>
    </w:p>
    <w:p>
      <w:r>
        <w:t>Magdeburg / Eberswalde, den 28.02.2012</w:t>
      </w:r>
    </w:p>
    <w:p>
      <w:r>
        <w:t>(Unterschriften)</w:t>
      </w:r>
    </w:p>
    <w:p/>
    <w:p>
      <w:r>
        <w:rPr>
          <w:rFonts w:ascii="Arial" w:hAnsi="Arial"/>
          <w:b/>
          <w:sz w:val="20"/>
        </w:rPr>
        <w:t>Maximilian Steinhoff-Pertz</w:t>
        <w:br/>
      </w:r>
      <w:r>
        <w:rPr>
          <w:rFonts w:ascii="Arial" w:hAnsi="Arial"/>
          <w:sz w:val="20"/>
        </w:rPr>
        <w:t>Vorstandsvorsitzender</w:t>
        <w:br/>
      </w:r>
      <w:r>
        <w:rPr>
          <w:rFonts w:ascii="Arial" w:hAnsi="Arial"/>
          <w:sz w:val="20"/>
        </w:rPr>
        <w:t>Dr. Annika Fritzsche, Arbeitnehmerin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03a_arbeitsvertrag_körber_2012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63B52"/>
        <w:sz w:val="20"/>
      </w:rPr>
      <w:t>Steinhoff Präzisionsguss SE</w:t>
    </w:r>
  </w:p>
  <w:p>
    <w:pPr>
      <w:spacing w:after="0"/>
      <w:pBdr>
        <w:bottom w:val="single" w:sz="8" w:space="3" w:color="263B52"/>
      </w:pBdr>
    </w:pPr>
    <w:r>
      <w:rPr>
        <w:rFonts w:ascii="Arial" w:hAnsi="Arial"/>
        <w:sz w:val="16"/>
      </w:rPr>
      <w:t>Am Industriepark 1, 16225 Eberswalde | Telefon 03334 690-0 | Telefax 03334 690-199 | HRB 8812 FF | Vorstand Maximilian Steinhoff-Pertz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3B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63B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Außertariflicher Arbeitsvertrag</dc:title>
  <dc:subject/>
  <dc:creator>Steinhoff Präzisionsguss SE</dc:creator>
  <cp:keywords/>
  <dc:description>generated by python-docx</dc:description>
  <cp:lastModifiedBy/>
  <cp:revision>1</cp:revision>
  <dcterms:created xsi:type="dcterms:W3CDTF">2013-12-23T23:15:00Z</dcterms:created>
  <dcterms:modified xsi:type="dcterms:W3CDTF">2013-12-23T23:15:00Z</dcterms:modified>
  <cp:category/>
</cp:coreProperties>
</file>