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Dr. Annika Körber</w:t>
            </w:r>
          </w:p>
        </w:tc>
      </w:tr>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Herkunfts- und Beweisvermerk zur internen Meldung</w:t>
      </w:r>
    </w:p>
    <w:p>
      <w:pPr>
        <w:pStyle w:val="Heading1"/>
      </w:pPr>
      <w:r>
        <w:t>4. Interner Verteiler der Meldung (Indizien der Reidentifizierung)</w:t>
      </w:r>
    </w:p>
    <w:p>
      <w:r>
        <w:t>Körber schildert folgende Indizien, die sie auf eine Reidentifizierung durch Kemnitz/Branitz hindeuten lassen:</w:t>
      </w:r>
    </w:p>
    <w:p>
      <w:r>
        <w:t>a) Zeitliche Koinzidenz</w:t>
      </w:r>
    </w:p>
    <w:p>
      <w:r>
        <w:t>Am 18.06.2024 — rund fünf Wochen nach Eingang der Meldung — bat Dr. Kemnitz Körber per E-Mail zu einem „kurzfristigen persönlichen Gespräch" am 20.06.2024. Der Anlass war laut E-Mail „interne Compliance-Themen, die ich gerne mit Ihnen besprechen möchte." Körber war zu diesem Zeitpunkt die einzige Führungskraft, die regelmäßig Zugang zu den bezeichneten Beschaffungsdokumenten hatte.</w:t>
      </w:r>
    </w:p>
    <w:p>
      <w:r>
        <w:t>b) Inhaltliche Überlappung</w:t>
      </w:r>
    </w:p>
    <w:p>
      <w:r>
        <w:t>Im ersten Gespräch (20.06.2024) verwendete Kemnitz Formulierungen wie „Verrechnungspreise sind ein sensibles Feld" und „man muss vorsichtig sein, wenn man solche Themen nach außen trägt" — ohne die Meldung explizit zu erwähnen. Körber interpretierte dies als klares Signal, dass Kemnitz über den Inhalt der Meldung informiert war.</w:t>
      </w:r>
    </w:p>
    <w:p>
      <w:r>
        <w:t>c) Technische Schwachstelle beim EthicsHub-System</w:t>
      </w:r>
    </w:p>
    <w:p>
      <w:r>
        <w:t>Körber vermutete nach Beratung mit einer befreundeten IT-Ingenieurin, dass das Hinweisgebersystem möglicherweise Metadaten über Einloggezeiten und verwendete Unternehmensgeräte erfasst. Sie hatte die Meldung auf einem privaten Gerät abgesetzt, aber über das WLAN-Netzwerk des Unternehmens (Eberswalde, Bürogebäude, abends um 21:34 Uhr). Die IP-Adresse könnte einem firmeneigenen Netzwerkknoten zugeordnet worden sein.</w:t>
      </w:r>
    </w:p>
    <w:p>
      <w:r>
        <w:t>d) Reaktion Branitz</w:t>
      </w:r>
    </w:p>
    <w:p>
      <w:r>
        <w:t>Branitz fragte Körber im Flurgespräch ca. 03.07.2024 beiläufig, ob sie „sich auch manchmal bei EthicsHub einlogge" — eine merkwürdige Formulierung, da Meldepflichtige üblicherweise nicht aktiv eingeloggt sind; der Kanal ist anonym und einmalig.</w:t>
      </w:r>
    </w:p>
    <w:p>
      <w:r>
        <w:t>Die Meldung und die Eingangsbestätigung liegen nun als getrennte Aktenstücke 06a und 06b vor. Der exakte Meldungstext wurde aus der von der Mandantin gesicherten Portalansicht und ihren zeitnahen Notizen abgeglichen. Der Zugangscode bleibt geschwärzt.</w:t>
      </w:r>
    </w:p>
    <w:p>
      <w:r>
        <w:t>Für eine behauptete Identifizierung sind technische Metadaten, interner Verteiler und tatsächliche Kenntnis einzelner Personen getrennt zu ermitteln. Die Gespräche mit Dr. Kemnitz sind in den Stücken 07a bis 07c dokumentiert. Die bloße zeitliche Abfolge ersetzt keinen Nachweis des Informationswegs.</w:t>
      </w:r>
    </w:p>
    <w:p>
      <w:r>
        <w:t>Anzufordern sind Portalprotokoll, Zugriffsberechtigungen der Meldestelle, Eingangs- und Maßnahmenvermerke sowie die E-Mail-Einladung vom 18. Juni 2024. Die Mandantin soll das ursprüngliche Notizbuch im Original vorlegen.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06c_beweisvermerk_meldung_reidentifizierung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Herkunfts- und Beweisvermerk zur internen Meldung</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