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2. Juni 2025</w:t>
            </w:r>
          </w:p>
        </w:tc>
      </w:tr>
      <w:tr>
        <w:tc>
          <w:tcPr>
            <w:tcW w:type="dxa" w:w="1984"/>
            <w:vAlign w:val="center"/>
          </w:tcPr>
          <w:p>
            <w:r>
              <w:rPr>
                <w:rFonts w:ascii="Arial" w:hAnsi="Arial"/>
                <w:b/>
                <w:sz w:val="17"/>
              </w:rPr>
              <w:t>Originale</w:t>
            </w:r>
          </w:p>
        </w:tc>
        <w:tc>
          <w:tcPr>
            <w:tcW w:type="dxa" w:w="3402"/>
            <w:vAlign w:val="center"/>
          </w:tcPr>
          <w:p>
            <w:r>
              <w:rPr>
                <w:rFonts w:ascii="Arial" w:hAnsi="Arial"/>
                <w:sz w:val="17"/>
              </w:rPr>
              <w:t>privates Notizbuch der Mandantin</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Beweis- und Herkunftsvermerk zu den Kemnitz-Gesprächen</w:t>
      </w:r>
    </w:p>
    <w:p>
      <w:r>
        <w:t>Rechtliche Einordnung und Beweisbedeutung (RA Reuß, 02.06.2025)</w:t>
      </w:r>
    </w:p>
    <w:p>
      <w:r>
        <w:t>Die drei Gespräche sind für mehrere Streitstränge bedeutsam:</w:t>
      </w:r>
    </w:p>
    <w:p>
      <w:r>
        <w:t>Paragraf 36 HinSchG / Repressalieverbot: Kemnitz' Äußerungen erfüllen — sofern beweisbar — den Tatbestand der Benachteiligung und Einschüchterung eines Hinweisgebers. Besonders der Anruf während der AU ist problematisch.</w:t>
      </w:r>
    </w:p>
    <w:p>
      <w:r>
        <w:t>Paragraf 612a BGB: Maßregelungsverbot — die Eskalation der AU-Situation zeitlich unmittelbar nach den Gesprächen stützt den kausalen Zusammenhang.</w:t>
      </w:r>
    </w:p>
    <w:p>
      <w:r>
        <w:t>Beweisführung: Allein Körbers Notizen ohne Zeugen. Therapeutin Dr. Jäkel könnte mittelbar bestätigen, dass Körber ihr von diesen Gesprächen berichtete. Ob und was der Therapeutin gegenüber mitgeteilt wurde, liegt außerhalb der Aktenlage.</w:t>
      </w:r>
    </w:p>
    <w:p>
      <w:r>
        <w:t>RA Dr. Jonas Reuß, 02.06.2025</w:t>
      </w:r>
    </w:p>
    <w:p>
      <w:r>
        <w:t>Die drei Notizen werden als getrennte Anlagen geführt. Vor Einreichung sind die Originalseiten zu fotografieren, fortlaufend zu kennzeichnen und mit den Kalenderdaten, Telefonlisten sowie den AU-Zeiträumen abzugleichen. Der Vermerk ersetzt weder eine Zeugenaussage noch eine anwaltliche Versicherung eigener Wahrnehmung.</w:t>
      </w:r>
    </w:p>
    <w:p>
      <w:r>
        <w:t>Offen bleibt, ob Dr. Kemnitz die Äußerungen bestreitet und ob weitere Personen den Beginn oder das Ende der Gespräche wahrgenommen haben. Frau Körber nennt Miriam Schultes für den 9. Juli als mögliche Wahrnehmungszeugin des Wechsels in den Nebenraum.</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07d_beweisvermerk_kemnitz_gespräche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kanzlei@reuss-martens.example.invalid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Beweis- und Herkunftsvermerk zu den Kemnitz-Gesprächen</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