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Zugang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22. Mai 2025, 14:31 Uhr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Fristende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12. Juni 2025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Unser Zeichen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25/1187-KÖ/re</w:t>
            </w:r>
          </w:p>
        </w:tc>
      </w:tr>
    </w:tbl>
    <w:p/>
    <w:p>
      <w:pPr>
        <w:pStyle w:val="Title"/>
      </w:pPr>
      <w:r>
        <w:t>Fristenvermerk zur Kündigung vom 22. Mai 2025</w:t>
      </w:r>
    </w:p>
    <w:p>
      <w:r>
        <w:t>Die Mandantin bestätigt den persönlichen Zugang am 22. Mai 2025. Das Originalschreiben befindet sich in der Urkundenlasche; der Botennachweis wird als Stück 09a geführt. Der Zugang wird gegenwärtig nicht bestritten.</w:t>
      </w:r>
    </w:p>
    <w:p>
      <w:r>
        <w:t>Die Dreiwochenfrist zur Erhebung der Kündigungsschutzklage endet nach vorläufiger Berechnung am Donnerstag, 12. Juni 2025, 24:00 Uhr. Vorfrist ist auf den 5. Juni, anwaltliche Endkontrolle auf den 10. Juni eingetragen.</w:t>
      </w:r>
    </w:p>
    <w:p>
      <w:r>
        <w:t>Die Klage soll Kündigungsschutzantrag, Weiterbeschäftigungsantrag und die gesondert zu prüfende Zusatzfunktion Senior Advisor berücksichtigen. Anlagen sind Arbeitsvertrag, Nachträge, Kündigung, Vollmacht und gegebenenfalls Betriebsratswiderspruch.</w:t>
      </w:r>
    </w:p>
    <w:p>
      <w:r>
        <w:t>Fristenkontrolle: Eintragung am 30. Mai 2025 durch Rechtsanwaltsfachangestellte Nele Wirth, Gegenkontrolle um 12:08 Uhr durch Rechtsanwalt Dr. Reuß. Einreichung erfolgt unabhängig von laufenden Vergleichsgesprächen.</w:t>
      </w:r>
    </w:p>
    <w:p/>
    <w:p>
      <w:r>
        <w:rPr>
          <w:rFonts w:ascii="Arial" w:hAnsi="Arial"/>
          <w:b/>
          <w:sz w:val="20"/>
        </w:rPr>
        <w:t>Nele Wirth</w:t>
        <w:br/>
      </w:r>
      <w:r>
        <w:rPr>
          <w:rFonts w:ascii="Arial" w:hAnsi="Arial"/>
          <w:sz w:val="20"/>
        </w:rPr>
        <w:t>Rechtsanwaltsfachangestellte · Fristenkontrolle</w:t>
        <w:br/>
      </w:r>
      <w:r>
        <w:rPr>
          <w:rFonts w:ascii="Arial" w:hAnsi="Arial"/>
          <w:sz w:val="20"/>
        </w:rPr>
        <w:t>Dr. Jonas Reuß, Gegenkontrolle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09b_fristenvermerk_kündigungsschutzklage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5B2831"/>
        <w:sz w:val="20"/>
      </w:rPr>
      <w:t>Reuß · Martens · Schlieper Rechtsanwälte PartG mbB</w:t>
    </w:r>
  </w:p>
  <w:p>
    <w:pPr>
      <w:spacing w:after="0"/>
      <w:pBdr>
        <w:bottom w:val="single" w:sz="8" w:space="3" w:color="5B2831"/>
      </w:pBdr>
    </w:pPr>
    <w:r>
      <w:rPr>
        <w:rFonts w:ascii="Arial" w:hAnsi="Arial"/>
        <w:sz w:val="16"/>
      </w:rPr>
      <w:t>Friedrichstraße 92, 10117 Berlin | Telefon 030 308 74-0 | Telefax 030 308 74-199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B283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B283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5B283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Fristenvermerk zur Kündigung vom 22. Mai 2025</dc:title>
  <dc:subject/>
  <dc:creator>Reuß · Martens · Schlieper Rechtsanwälte PartG mbB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