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Quorumsstreit beim BR-Beschluss vom 20.05.2025</w:t>
      </w:r>
    </w:p>
    <w:p>
      <w:pPr>
        <w:spacing w:line="259" w:lineRule="auto" w:after="60"/>
        <w:jc w:val="left"/>
      </w:pPr>
      <w:r>
        <w:t>Internes Rechtsgutachten / Arbeitsvermerk. Stand: 04.06.2025. RA Dr. Jonas Reuß.</w:t>
      </w:r>
    </w:p>
    <w:p>
      <w:pPr>
        <w:spacing w:line="259" w:lineRule="auto" w:after="60"/>
      </w:pPr>
    </w:p>
    <w:p>
      <w:pPr>
        <w:pStyle w:val="Heading2"/>
        <w:spacing w:before="120" w:after="60" w:line="259" w:lineRule="auto"/>
      </w:pPr>
      <w:r>
        <w:rPr>
          <w:rFonts w:ascii="Times New Roman" w:hAnsi="Times New Roman"/>
          <w:b/>
          <w:sz w:val="22"/>
        </w:rPr>
        <w:t>1. Ausgangslage</w:t>
      </w:r>
    </w:p>
    <w:p>
      <w:pPr>
        <w:spacing w:line="259" w:lineRule="auto" w:after="60"/>
        <w:jc w:val="left"/>
      </w:pPr>
      <w:r>
        <w:t>Der Betriebsrat Werk Eberswalde besteht aus 11 Mitgliedern. Bei der Sitzung vom 20.05.2025 war Andreas Schwarz (Mitglied Nr. 8) krankheitsbedingt abwesend. Die Sitzung fand mit 10 anwesenden Mitgliedern statt. Kein Ersatzmitglied wurde geladen.</w:t>
      </w:r>
    </w:p>
    <w:p>
      <w:pPr>
        <w:spacing w:line="259" w:lineRule="auto" w:after="60"/>
        <w:jc w:val="left"/>
      </w:pPr>
      <w:r>
        <w:t>Der Widerspruchsbeschluss erging mit 9 Ja-Stimmen, 1 Gegenstimme (Görke), 0 Enthaltungen, also: 9 von 11 Stimmberechtigten.</w:t>
      </w:r>
    </w:p>
    <w:p>
      <w:pPr>
        <w:spacing w:line="259" w:lineRule="auto" w:after="60"/>
        <w:jc w:val="left"/>
      </w:pPr>
      <w:r>
        <w:t>Steinhoff SE hat in einem Schreiben des Justiziars Kemnitz vom 26.05.2025 (vorliegend als Kopie) angedeutet, den BR-Widerspruch für formell unwirksam zu halten, weil kein Ersatzmitglied geladen worden sei.</w:t>
      </w:r>
    </w:p>
    <w:p>
      <w:pPr>
        <w:spacing w:line="259" w:lineRule="auto" w:after="60"/>
      </w:pPr>
    </w:p>
    <w:p>
      <w:pPr>
        <w:pStyle w:val="Heading2"/>
        <w:spacing w:line="259" w:lineRule="auto" w:after="60"/>
      </w:pPr>
      <w:r>
        <w:rPr>
          <w:rFonts w:ascii="Times New Roman" w:hAnsi="Times New Roman"/>
        </w:rPr>
        <w:t>2. Rechtliche Analyse</w:t>
      </w:r>
    </w:p>
    <w:p>
      <w:pPr>
        <w:pStyle w:val="Heading3"/>
        <w:spacing w:line="259" w:lineRule="auto" w:after="60"/>
      </w:pPr>
      <w:r>
        <w:rPr>
          <w:rFonts w:ascii="Times New Roman" w:hAnsi="Times New Roman"/>
        </w:rPr>
        <w:t>2.1 Allgemeine Beschlussfähigkeit des Betriebsrats</w:t>
      </w:r>
    </w:p>
    <w:p>
      <w:pPr>
        <w:spacing w:line="259" w:lineRule="auto" w:after="60"/>
        <w:jc w:val="left"/>
      </w:pPr>
      <w:r>
        <w:t>Nach Paragraf 33 Abs. 2 BetrVG ist ein Betriebsrat beschlussfähig, wenn mindestens die Hälfte seiner Mitglieder an der Beschlussfassung teilnimmt. Bei einem 11-köpfigen Betriebsrat wären das mindestens 6 Mitglieder.</w:t>
      </w:r>
    </w:p>
    <w:p>
      <w:pPr>
        <w:spacing w:line="259" w:lineRule="auto" w:after="60"/>
        <w:jc w:val="left"/>
      </w:pPr>
      <w:r>
        <w:t>Mit 10 anwesenden Mitgliedern war der Betriebsrat beschlussfähig; das ist unstreitig.</w:t>
      </w:r>
    </w:p>
    <w:p>
      <w:pPr>
        <w:pStyle w:val="Heading3"/>
        <w:spacing w:line="259" w:lineRule="auto" w:after="60"/>
      </w:pPr>
      <w:r>
        <w:rPr>
          <w:rFonts w:ascii="Times New Roman" w:hAnsi="Times New Roman"/>
        </w:rPr>
        <w:t>2.2 Nachrücken von Ersatzmitgliedern nach Paragraf 25 BetrVG</w:t>
      </w:r>
    </w:p>
    <w:p>
      <w:pPr>
        <w:spacing w:line="259" w:lineRule="auto" w:after="60"/>
        <w:jc w:val="left"/>
      </w:pPr>
      <w:r>
        <w:t>Paragraf 25 Abs. 1 BetrVG regelt: Ist ein Betriebsratsmitglied verhindert, so tritt an seine Stelle das Ersatzmitglied. Ersatzmitglieder werden nach der bei der Betriebsratswahl festgelegten Reihenfolge eingeladen.</w:t>
      </w:r>
    </w:p>
    <w:p>
      <w:pPr>
        <w:spacing w:line="259" w:lineRule="auto" w:after="60"/>
        <w:jc w:val="left"/>
      </w:pPr>
      <w:r>
        <w:t xml:space="preserve">Die entscheidende Frage: Ist das Nachrücken des Ersatzmitglieds eine formelle </w:t>
      </w:r>
      <w:r>
        <w:rPr>
          <w:b/>
        </w:rPr>
        <w:t>Wirksamkeitsvoraussetzung</w:t>
      </w:r>
      <w:r>
        <w:t xml:space="preserve"> für den Beschluss, oder hat das Versäumnis keine Auswirkung auf die Wirksamkeit, wenn ohne das Ersatzmitglied ohnehin Beschlussfähigkeit besteht und das Quorum der Mehrheit erreicht wurde?</w:t>
      </w:r>
    </w:p>
    <w:p>
      <w:pPr>
        <w:pStyle w:val="Heading3"/>
        <w:spacing w:line="259" w:lineRule="auto" w:after="60"/>
      </w:pPr>
      <w:r>
        <w:rPr>
          <w:rFonts w:ascii="Times New Roman" w:hAnsi="Times New Roman"/>
        </w:rPr>
        <w:t>2.3 Streitstand in Rechtsprechung und Literatur</w:t>
      </w:r>
    </w:p>
    <w:p>
      <w:pPr>
        <w:spacing w:line="259" w:lineRule="auto" w:after="60"/>
        <w:jc w:val="left"/>
      </w:pPr>
      <w:r>
        <w:rPr>
          <w:b/>
        </w:rPr>
        <w:t>Arbeitgeberposition (Kemnitz-These):</w:t>
      </w:r>
      <w:r>
        <w:t xml:space="preserve"> Jede Verhinderung eines BR-Mitglieds löst die Pflicht aus, das Ersatzmitglied zu laden. Unterbleibt die Ladung, ist der Beschluss formell unwirksam, unabhängig vom Ergebnis der Abstimmung. Verweis auf BAG 16.11.2005 – 7 ABR 12/05 (Pflicht zur Ladung des Ersatzmitglieds).</w:t>
      </w:r>
    </w:p>
    <w:p>
      <w:pPr>
        <w:spacing w:line="259" w:lineRule="auto" w:after="60"/>
        <w:jc w:val="left"/>
      </w:pPr>
      <w:r>
        <w:rPr>
          <w:b/>
        </w:rPr>
        <w:t>Arbeitnehmerposition (Trzebinski/Reuß-These):</w:t>
      </w:r>
      <w:r>
        <w:t xml:space="preserve"> Die Pflicht nach Paragraf 25 Abs. 1 BetrVG besteht; sie soll sicherstellen, dass der BR in vollständiger Besetzung tagt und entscheidet. Ist jedoch die Beschlussfähigkeit ohne das Ersatzmitglied gegeben </w:t>
      </w:r>
      <w:r>
        <w:rPr>
          <w:b/>
        </w:rPr>
        <w:t>und</w:t>
      </w:r>
      <w:r>
        <w:t xml:space="preserve"> das Abstimmungsergebnis würde sich selbst bei Teilnahme des Ersatzmitglieds nicht ändern (maximal 11 Stimmen, davon 9 Ja → auch in Vollbesetzung: Mehrheit), kann die Verletzung der Ladungspflicht nicht zur Unwirksamkeit des Beschlusses führen, wenn der Beschluss im Übrigen mit der nach Paragraf 33 BetrVG erforderlichen einfachen Mehrheit gefasst wurde.</w:t>
      </w:r>
    </w:p>
    <w:p>
      <w:pPr>
        <w:spacing w:line="259" w:lineRule="auto" w:after="60"/>
        <w:jc w:val="left"/>
      </w:pPr>
      <w:r>
        <w:t>Das BAG hat in verschiedenen Entscheidungen betont, dass die Nichtladung des Ersatzmitglieds jedenfalls dann unbeachtlich ist, wenn das Beschlussergebnis durch die Beteiligung des nicht geladenen Ersatzmitglieds nicht hätte beeinflusst werden können (BAG 28.05.2014 – 7 ABR 36/12; vgl. auch Fitting, BetrVG, Paragraf 25 Rn. 28 ff.). Dieser Grundsatz ist in der Rechtsprechung anerkannt.</w:t>
      </w:r>
    </w:p>
    <w:p>
      <w:pPr>
        <w:pStyle w:val="Heading3"/>
        <w:spacing w:line="259" w:lineRule="auto" w:after="60"/>
      </w:pPr>
      <w:r>
        <w:rPr>
          <w:rFonts w:ascii="Times New Roman" w:hAnsi="Times New Roman"/>
        </w:rPr>
        <w:t>2.4 Heilung durch Verfahrensfehler?</w:t>
      </w:r>
    </w:p>
    <w:p>
      <w:pPr>
        <w:spacing w:line="259" w:lineRule="auto" w:after="60"/>
        <w:jc w:val="left"/>
      </w:pPr>
      <w:r>
        <w:t>Selbst wenn man die Nichtladung als formellen Mangel bewertet: Ein Widerspruch nach Paragraf 102 Abs. 3 BetrVG bedarf nach überwiegender Auffassung keiner besonderen Formerfordernisse jenseits der schriftlichen Erklärung. Die Heilungsmöglichkeit nach allgemeinen Grundsätzen (nachträgliche Bestätigung des Beschlusses in einer ordnungsgemäßen Sitzung) wäre noch möglich.</w:t>
      </w:r>
    </w:p>
    <w:p>
      <w:pPr>
        <w:pStyle w:val="Heading3"/>
        <w:spacing w:line="259" w:lineRule="auto" w:after="60"/>
      </w:pPr>
      <w:r>
        <w:rPr>
          <w:rFonts w:ascii="Times New Roman" w:hAnsi="Times New Roman"/>
        </w:rPr>
        <w:t>2.5 Praktische Relevanz</w:t>
      </w:r>
    </w:p>
    <w:p>
      <w:pPr>
        <w:spacing w:line="259" w:lineRule="auto" w:after="60"/>
        <w:jc w:val="left"/>
      </w:pPr>
      <w:r>
        <w:t xml:space="preserve">Selbst wenn der Widerspruch formell unwirksam wäre: Dies berührt nur den Weiterbeschäftigungsanspruch nach Paragraf 102 Abs. 5 BetrVG (dieser setzt einen wirksamen Widerspruch voraus), </w:t>
      </w:r>
      <w:r>
        <w:rPr>
          <w:b/>
        </w:rPr>
        <w:t>nicht</w:t>
      </w:r>
      <w:r>
        <w:t xml:space="preserve"> die Wirksamkeit der Kündigung selbst. Die Unwirksamkeit der Kündigung ergibt sich aus den materiellrechtlichen Gründen, nicht aus dem BR-Widerspruch.</w:t>
      </w:r>
    </w:p>
    <w:p>
      <w:pPr>
        <w:spacing w:line="259" w:lineRule="auto" w:after="60"/>
      </w:pPr>
    </w:p>
    <w:p>
      <w:pPr>
        <w:pStyle w:val="Heading2"/>
        <w:spacing w:line="259" w:lineRule="auto" w:after="60"/>
      </w:pPr>
      <w:r>
        <w:rPr>
          <w:rFonts w:ascii="Times New Roman" w:hAnsi="Times New Roman"/>
        </w:rPr>
        <w:t>3. Ergebnis und Empfehlung</w:t>
      </w:r>
    </w:p>
    <w:p>
      <w:pPr>
        <w:spacing w:line="259" w:lineRule="auto" w:after="60"/>
        <w:jc w:val="left"/>
      </w:pPr>
      <w:r>
        <w:t xml:space="preserve">Der BR-Beschluss vom 20.05.2025 ist aller Voraussicht nach </w:t>
      </w:r>
      <w:r>
        <w:rPr>
          <w:b/>
        </w:rPr>
        <w:t>wirksam</w:t>
      </w:r>
      <w:r>
        <w:t>:</w:t>
      </w:r>
    </w:p>
    <w:p>
      <w:pPr>
        <w:pStyle w:val="ListBullet"/>
        <w:spacing w:line="259" w:lineRule="auto" w:after="60"/>
      </w:pPr>
      <w:r>
        <w:t>Beschlussfähigkeit (Paragraf 33 Abs. 2 BetrVG): +</w:t>
      </w:r>
    </w:p>
    <w:p>
      <w:pPr>
        <w:pStyle w:val="ListBullet"/>
        <w:spacing w:line="259" w:lineRule="auto" w:after="60"/>
      </w:pPr>
      <w:r>
        <w:t>Einfache Mehrheit (Paragraf 33 Abs. 1 BetrVG): 9 von 10 anwesenden Mitgliedern: +</w:t>
      </w:r>
    </w:p>
    <w:p>
      <w:pPr>
        <w:pStyle w:val="ListBullet"/>
        <w:spacing w:line="259" w:lineRule="auto" w:after="60"/>
      </w:pPr>
      <w:r>
        <w:t>Heilungsargument: Selbst wenn Nichtladung als Mangel gilt, wäre bei 11 Stimmberechtigten und 9 Ja-Stimmen kein anderes Ergebnis möglich → Ergebnis beeinflusst den Beschluss nicht.</w:t>
      </w:r>
    </w:p>
    <w:p>
      <w:pPr>
        <w:spacing w:line="259" w:lineRule="auto" w:after="60"/>
        <w:jc w:val="left"/>
      </w:pPr>
      <w:r>
        <w:t>Der Weiterbeschäftigungsanspruch nach Paragraf 102 Abs. 5 BetrVG bleibt stichhaltig.</w:t>
      </w:r>
    </w:p>
    <w:p>
      <w:pPr>
        <w:spacing w:line="259" w:lineRule="auto" w:after="60"/>
        <w:jc w:val="left"/>
      </w:pPr>
      <w:r>
        <w:t>Dennoch: Vorsorglich sollte Trzebinski einen Bestätigungsbeschluss in der nächsten ordentlichen Sitzung (mit vollständiger Besetzung inkl. Schwarz) fassen, um jeden Angriffspunkt zu eliminieren.</w:t>
      </w:r>
    </w:p>
    <w:p>
      <w:pPr>
        <w:spacing w:line="259" w:lineRule="auto" w:after="60"/>
        <w:jc w:val="left"/>
      </w:pPr>
      <w:r>
        <w:rPr>
          <w:i/>
        </w:rPr>
        <w:t>RA Dr. Jonas Reuß, 04.06.2025</w:t>
      </w:r>
    </w:p>
    <w:p>
      <w:pPr>
        <w:spacing w:line="259" w:lineRule="auto" w:after="60"/>
      </w:pPr>
    </w:p>
    <w:p>
      <w:pPr>
        <w:pStyle w:val="Heading2"/>
        <w:spacing w:line="259" w:lineRule="auto" w:after="60"/>
      </w:pPr>
      <w:r>
        <w:rPr>
          <w:rFonts w:ascii="Times New Roman" w:hAnsi="Times New Roman"/>
        </w:rPr>
        <w:t>4. Anlage: Schreiben Kemnitz vom 26.05.2025 (Auszug)</w:t>
      </w:r>
    </w:p>
    <w:p>
      <w:pPr>
        <w:spacing w:line="259" w:lineRule="auto" w:after="60"/>
        <w:ind w:left="567"/>
      </w:pPr>
      <w:r>
        <w:rPr>
          <w:i/>
        </w:rPr>
        <w:t>„... teilen wir Ihnen mit, dass wir den Betriebsratsbeschluss vom 20.05.2025 für formell unwirksam halten, da entgegen Paragraf 25 Abs. 1 BetrVG kein Ersatzmitglied für das verhinderte Mitglied Herrn Schwarz geladen wurde. Wir werden dies im Rahmen des Kündigungsschutzverfahrens geltend machen. ..."</w:t>
      </w:r>
    </w:p>
    <w:p>
      <w:pPr>
        <w:spacing w:line="259" w:lineRule="auto" w:after="60"/>
        <w:jc w:val="left"/>
      </w:pPr>
      <w:r>
        <w:rPr>
          <w:i/>
        </w:rPr>
        <w:t>Diese Passage wird in der Klagebegründung zu kontern sein.</w:t>
      </w:r>
    </w:p>
    <w:sectPr w:rsidR="00FC693F" w:rsidRPr="0006063C" w:rsidSect="00034616">
      <w:headerReference w:type="default" r:id="rId9"/>
      <w:footerReference w:type="default" r:id="rId10"/>
      <w:pgSz w:w="11906" w:h="16838"/>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Klotzkette Rechtsanwaltsgesellschaft mbH | Arbeitsrechtliche Mandatsakte | Bearbeitungsstand Juli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