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4. Juni 2025</w:t>
            </w:r>
          </w:p>
        </w:tc>
      </w:tr>
      <w:tr>
        <w:tc>
          <w:tcPr>
            <w:tcW w:type="dxa" w:w="1984"/>
            <w:vAlign w:val="center"/>
          </w:tcPr>
          <w:p>
            <w:r>
              <w:rPr>
                <w:rFonts w:ascii="Arial" w:hAnsi="Arial"/>
                <w:b/>
                <w:sz w:val="17"/>
              </w:rPr>
              <w:t>Quellen</w:t>
            </w:r>
          </w:p>
        </w:tc>
        <w:tc>
          <w:tcPr>
            <w:tcW w:type="dxa" w:w="3402"/>
            <w:vAlign w:val="center"/>
          </w:tcPr>
          <w:p>
            <w:r>
              <w:rPr>
                <w:rFonts w:ascii="Arial" w:hAnsi="Arial"/>
                <w:sz w:val="17"/>
              </w:rPr>
              <w:t>E-Mails 29. Juli und 5. August 2024</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Aktenstand zum betrieblichen Eingliederungsmanagement</w:t>
      </w:r>
    </w:p>
    <w:p>
      <w:pPr>
        <w:pStyle w:val="Heading1"/>
      </w:pPr>
      <w:r>
        <w:t>1. Hintergrund: Voraussetzungen des BEM</w:t>
      </w:r>
    </w:p>
    <w:p>
      <w:r>
        <w:t>Paragraf 167 Abs. 2 SGB IX verpflichtet den Arbeitgeber, ein betriebliches Eingliederungsmanagement anzubieten, sobald eine Arbeitnehmerin innerhalb von 12 Monaten länger als 6 Wochen ununterbrochen oder wiederholt arbeitsunfähig war. Diese Schwelle hat Körber mit ihrer ersten AU-Phase (25.06.–07.08.2024, 31 Arbeitstage = 43 Kalendertage) schon nach dem ersten AU-Block deutlich überschritten; mit der zweiten Phase (02.09.–19.09.2024) war die Sechs-Wochen-Schwelle rechnerisch auch schon nach Kalenderwochen klar erreicht.</w:t>
      </w:r>
    </w:p>
    <w:p>
      <w:r>
        <w:t>Sinn und Zweck: Das BEM soll mit dem erkrankten Mitarbeiter gemeinsam klären, wie die Arbeitsunfähigkeit überwunden und weiterer Erkrankung vorgebeugt werden kann. Die Einleitung setzt eine Einladung des Arbeitgebers voraus; die Arbeitnehmerin kann zustimmen oder ablehnen.</w:t>
      </w:r>
    </w:p>
    <w:p>
      <w:pPr>
        <w:pStyle w:val="Heading1"/>
      </w:pPr>
      <w:r>
        <w:t>4. Weiterer Verlauf</w:t>
      </w:r>
    </w:p>
    <w:p>
      <w:r>
        <w:t>Nach der zweiten, dritten, vierten und fünften AU-Phase kam keine BEM-Einladung. Körber hat keine weiteren Anfragen gestellt (nach Auskunft Körbers hatte sie Angst, weiteren Druck auszulösen). Der Betriebsrat wurde nach Körbers Angaben auch nicht in ein BEM-Verfahren einbezogen.</w:t>
      </w:r>
    </w:p>
    <w:p>
      <w:pPr>
        <w:pStyle w:val="Heading1"/>
      </w:pPr>
      <w:r>
        <w:t>5. Rechtliche Einordnung</w:t>
      </w:r>
    </w:p>
    <w:p>
      <w:pPr>
        <w:pStyle w:val="Heading1"/>
      </w:pPr>
      <w:r>
        <w:t>5.1 BEM-Defizit als Voraussetzung für die Kündigung</w:t>
      </w:r>
    </w:p>
    <w:p>
      <w:r>
        <w:t>Nach ständiger Rechtsprechung des BAG (vgl. BAG 20.11.2014 – 2 AZR 755/13; BAG 24.03.2011 – 2 AZR 170/10) führt das Fehlen eines ordnungsgemäßen BEM-Verfahrens nicht per se zur Unwirksamkeit der krankheitsbedingten Kündigung, bürdet dem Arbeitgeber aber eine erhöhte Darlegungs- und Beweislast auf.</w:t>
      </w:r>
    </w:p>
    <w:p>
      <w:r>
        <w:t>Der Arbeitgeber muss in diesem Fall konkret darlegen, dass auch ein durchgeführtes BEM keine alternativen Beschäftigungsmöglichkeiten hätte ergeben können. Diese Darlegung scheitert hier voraussichtlich:</w:t>
      </w:r>
    </w:p>
    <w:p>
      <w:r>
        <w:t>Körbers Gesundheitszustand ist nach aktueller Auskunft behandelbar und stabilisiert (Therapeutin Jäkel bestätigt laut Körber gute Prognose).</w:t>
      </w:r>
    </w:p>
    <w:p>
      <w:r>
        <w:t>Die Standortschließung war im Juli 2024 noch nicht bekannt; zu diesem Zeitpunkt hätte ein BEM durchaus Sinn gemacht.</w:t>
      </w:r>
    </w:p>
    <w:p>
      <w:r>
        <w:t>Eine Weiterbeschäftigung in einer anderen Funktion (Senior Advisor, Konzerntätigkeit) wäre denkbar gewesen.</w:t>
      </w:r>
    </w:p>
    <w:p>
      <w:pPr>
        <w:pStyle w:val="Heading1"/>
      </w:pPr>
      <w:r>
        <w:t>5.2 Beweiswert des Branitz-Schreibens</w:t>
      </w:r>
    </w:p>
    <w:p>
      <w:r>
        <w:t>Die E-Mail vom 05.08.2024 belegt, dass Branitz das BEM aktiv abgewimmelt hat. Der Arbeitgeber wird sich daher nicht auf ein „nicht mögliches" BEM berufen können. Die Klageschrift wird diesen Punkt prominent führen.</w:t>
      </w:r>
    </w:p>
    <w:p>
      <w:pPr>
        <w:pStyle w:val="Heading1"/>
      </w:pPr>
      <w:r>
        <w:t>5.3 Anmerkung zur Kündigung selbst</w:t>
      </w:r>
    </w:p>
    <w:p>
      <w:r>
        <w:t>In der Kündigung (Aktenstück 09) behauptet die Steinhoff SE: „Ein BEM war bisher nicht möglich, da die rechtlichen und organisatorischen Voraussetzungen nach Paragraf 167 Abs. 2 SGB IX bislang nicht vorlagen." Diese Behauptung ist sachlich falsch. Sie steht im direkten Widerspruch zur vorhandenen Korrespondenz.</w:t>
      </w:r>
    </w:p>
    <w:p>
      <w:r>
        <w:t>RA Dr. Jonas Reuß, 04.06.2025</w:t>
      </w:r>
    </w:p>
    <w:p>
      <w:r>
        <w:t>Die beiden E-Mails liegen im Originalformat mit Kopfzeilen und Zeitstempeln getrennt in der Akte. Noch anzufordern sind eine etwaige BEM-Verfahrensakte, interne HR-Vermerke und die Beteiligungsliste des Betriebsrats. Die Fehlanzeige in den Unterlagen wird nicht mit dem sicheren Nachweis gleichgesetzt, dass intern keinerlei Prüfung stattgefunden hat.</w:t>
      </w:r>
    </w:p>
    <w:p>
      <w:r>
        <w:t>Für den Tatsachenvortrag sind AU-Zeiträume, konkrete Rückkehrmöglichkeiten und anderweitige Beschäftigungsoptionen getrennt zu belegen. Die Bewertung darf sich nicht allein auf die Bezeichnung der E-Mail stützen.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12c_kanzleivermerk_bem_aktenstand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kanzlei@reuss-martens.example.invalid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Aktenstand zum betrieblichen Eingliederungsmanagement</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