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INTERNER PRÜFVERMERK</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5. Juni 2025</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25-ARB-530 / jr</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Jonas Reuß</w:t>
            </w:r>
          </w:p>
        </w:tc>
      </w:tr>
    </w:tbl>
    <w:p/>
    <w:p>
      <w:pPr>
        <w:pStyle w:val="Title"/>
      </w:pPr>
      <w:r>
        <w:rPr>
          <w:rFonts w:ascii="Arial" w:hAnsi="Arial" w:eastAsia="Arial"/>
          <w:b/>
          <w:color w:val="173941"/>
          <w:sz w:val="34"/>
        </w:rPr>
        <w:t>Auskunftsverfahren, Vergleichsgruppe und Entgeltdifferenzen</w:t>
      </w:r>
    </w:p>
    <w:p>
      <w:pPr>
        <w:pStyle w:val="Heading1"/>
      </w:pPr>
      <w:r>
        <w:t>1. Dokumentenstand</w:t>
      </w:r>
    </w:p>
    <w:p>
      <w:pPr>
        <w:jc w:val="both"/>
      </w:pPr>
      <w:r>
        <w:rPr>
          <w:rFonts w:ascii="Arial" w:hAnsi="Arial" w:eastAsia="Arial"/>
          <w:b w:val="0"/>
          <w:sz w:val="21"/>
        </w:rPr>
        <w:t>Das Auskunftsersuchen ging nach E-Mail-Protokoll am 4. März 2024 um 09:16 Uhr bei Human Resources ein. Die Eingangsbestätigung datiert vom 6. März, die inhaltliche Antwort vom 14. Juni 2024. Vorhanden sind Stellenbeschreibung, Arbeitsvertrag, Antwortschreiben und Gesprächsvermerk mit der früheren Kollegin Dratwa.</w:t>
      </w:r>
    </w:p>
    <w:p>
      <w:pPr>
        <w:pStyle w:val="Heading1"/>
      </w:pPr>
      <w:r>
        <w:t>2. Zahlen</w:t>
      </w:r>
    </w:p>
    <w:tbl>
      <w:tblPr>
        <w:tblStyle w:val="TableGrid"/>
        <w:tblW w:type="auto" w:w="0"/>
        <w:jc w:val="center"/>
        <w:tblLayout w:type="fixed"/>
        <w:tblLook w:firstColumn="1" w:firstRow="1" w:lastColumn="0" w:lastRow="0" w:noHBand="0" w:noVBand="1" w:val="04A0"/>
      </w:tblPr>
      <w:tblGrid>
        <w:gridCol w:w="1888"/>
        <w:gridCol w:w="1888"/>
        <w:gridCol w:w="1888"/>
        <w:gridCol w:w="1888"/>
        <w:gridCol w:w="1888"/>
      </w:tblGrid>
      <w:tr>
        <w:trPr>
          <w:tblHeader w:val="true"/>
        </w:trPr>
        <w:tc>
          <w:tcPr>
            <w:tcW w:type="dxa" w:w="2494"/>
            <w:shd w:fill="E7EFF1"/>
            <w:vAlign w:val="center"/>
          </w:tcPr>
          <w:p>
            <w:r>
              <w:rPr>
                <w:rFonts w:ascii="Arial" w:hAnsi="Arial" w:eastAsia="Arial"/>
                <w:b/>
                <w:color w:val="173941"/>
                <w:sz w:val="17"/>
              </w:rPr>
              <w:t>Position</w:t>
            </w:r>
          </w:p>
        </w:tc>
        <w:tc>
          <w:tcPr>
            <w:tcW w:type="dxa" w:w="1928"/>
            <w:shd w:fill="E7EFF1"/>
            <w:vAlign w:val="center"/>
          </w:tcPr>
          <w:p>
            <w:r>
              <w:rPr>
                <w:rFonts w:ascii="Arial" w:hAnsi="Arial" w:eastAsia="Arial"/>
                <w:b/>
                <w:color w:val="173941"/>
                <w:sz w:val="17"/>
              </w:rPr>
              <w:t>Körber</w:t>
            </w:r>
          </w:p>
        </w:tc>
        <w:tc>
          <w:tcPr>
            <w:tcW w:type="dxa" w:w="2324"/>
            <w:shd w:fill="E7EFF1"/>
            <w:vAlign w:val="center"/>
          </w:tcPr>
          <w:p>
            <w:r>
              <w:rPr>
                <w:rFonts w:ascii="Arial" w:hAnsi="Arial" w:eastAsia="Arial"/>
                <w:b/>
                <w:color w:val="173941"/>
                <w:sz w:val="17"/>
              </w:rPr>
              <w:t>Vergleich</w:t>
            </w:r>
          </w:p>
        </w:tc>
        <w:tc>
          <w:tcPr>
            <w:tcW w:type="dxa" w:w="1871"/>
            <w:shd w:fill="E7EFF1"/>
            <w:vAlign w:val="center"/>
          </w:tcPr>
          <w:p>
            <w:r>
              <w:rPr>
                <w:rFonts w:ascii="Arial" w:hAnsi="Arial" w:eastAsia="Arial"/>
                <w:b/>
                <w:color w:val="173941"/>
                <w:sz w:val="17"/>
              </w:rPr>
              <w:t>Differenz</w:t>
            </w:r>
          </w:p>
        </w:tc>
        <w:tc>
          <w:tcPr>
            <w:tcW w:type="dxa" w:w="2665"/>
            <w:shd w:fill="E7EFF1"/>
            <w:vAlign w:val="center"/>
          </w:tcPr>
          <w:p>
            <w:r>
              <w:rPr>
                <w:rFonts w:ascii="Arial" w:hAnsi="Arial" w:eastAsia="Arial"/>
                <w:b/>
                <w:color w:val="173941"/>
                <w:sz w:val="17"/>
              </w:rPr>
              <w:t>Quelle</w:t>
            </w:r>
          </w:p>
        </w:tc>
      </w:tr>
      <w:tr>
        <w:tc>
          <w:tcPr>
            <w:tcW w:type="dxa" w:w="2494"/>
            <w:vAlign w:val="top"/>
          </w:tcPr>
          <w:p>
            <w:r>
              <w:rPr>
                <w:rFonts w:ascii="Arial" w:hAnsi="Arial" w:eastAsia="Arial"/>
                <w:b w:val="0"/>
                <w:sz w:val="16"/>
              </w:rPr>
              <w:t>Festes Jahresgehalt</w:t>
            </w:r>
          </w:p>
        </w:tc>
        <w:tc>
          <w:tcPr>
            <w:tcW w:type="dxa" w:w="1928"/>
            <w:vAlign w:val="top"/>
          </w:tcPr>
          <w:p>
            <w:r>
              <w:rPr>
                <w:rFonts w:ascii="Arial" w:hAnsi="Arial" w:eastAsia="Arial"/>
                <w:b w:val="0"/>
                <w:sz w:val="16"/>
              </w:rPr>
              <w:t>134000 EUR</w:t>
            </w:r>
          </w:p>
        </w:tc>
        <w:tc>
          <w:tcPr>
            <w:tcW w:type="dxa" w:w="2324"/>
            <w:vAlign w:val="top"/>
          </w:tcPr>
          <w:p>
            <w:r>
              <w:rPr>
                <w:rFonts w:ascii="Arial" w:hAnsi="Arial" w:eastAsia="Arial"/>
                <w:b w:val="0"/>
                <w:sz w:val="16"/>
              </w:rPr>
              <w:t>Median 147000 EUR</w:t>
            </w:r>
          </w:p>
        </w:tc>
        <w:tc>
          <w:tcPr>
            <w:tcW w:type="dxa" w:w="1871"/>
            <w:vAlign w:val="top"/>
          </w:tcPr>
          <w:p>
            <w:r>
              <w:rPr>
                <w:rFonts w:ascii="Arial" w:hAnsi="Arial" w:eastAsia="Arial"/>
                <w:b w:val="0"/>
                <w:sz w:val="16"/>
              </w:rPr>
              <w:t>13000 EUR</w:t>
            </w:r>
          </w:p>
        </w:tc>
        <w:tc>
          <w:tcPr>
            <w:tcW w:type="dxa" w:w="2665"/>
            <w:vAlign w:val="top"/>
          </w:tcPr>
          <w:p>
            <w:r>
              <w:rPr>
                <w:rFonts w:ascii="Arial" w:hAnsi="Arial" w:eastAsia="Arial"/>
                <w:b w:val="0"/>
                <w:sz w:val="16"/>
              </w:rPr>
              <w:t>Vertrag und Auskunft</w:t>
            </w:r>
          </w:p>
        </w:tc>
      </w:tr>
      <w:tr>
        <w:tc>
          <w:tcPr>
            <w:tcW w:type="dxa" w:w="2494"/>
            <w:vAlign w:val="top"/>
          </w:tcPr>
          <w:p>
            <w:r>
              <w:rPr>
                <w:rFonts w:ascii="Arial" w:hAnsi="Arial" w:eastAsia="Arial"/>
                <w:b w:val="0"/>
                <w:sz w:val="16"/>
              </w:rPr>
              <w:t>Vorgänger Wolters, fest</w:t>
            </w:r>
          </w:p>
        </w:tc>
        <w:tc>
          <w:tcPr>
            <w:tcW w:type="dxa" w:w="1928"/>
            <w:vAlign w:val="top"/>
          </w:tcPr>
          <w:p>
            <w:r>
              <w:rPr>
                <w:rFonts w:ascii="Arial" w:hAnsi="Arial" w:eastAsia="Arial"/>
                <w:b w:val="0"/>
                <w:sz w:val="16"/>
              </w:rPr>
              <w:t>134000 EUR</w:t>
            </w:r>
          </w:p>
        </w:tc>
        <w:tc>
          <w:tcPr>
            <w:tcW w:type="dxa" w:w="2324"/>
            <w:vAlign w:val="top"/>
          </w:tcPr>
          <w:p>
            <w:r>
              <w:rPr>
                <w:rFonts w:ascii="Arial" w:hAnsi="Arial" w:eastAsia="Arial"/>
                <w:b w:val="0"/>
                <w:sz w:val="16"/>
              </w:rPr>
              <w:t>178000 EUR</w:t>
            </w:r>
          </w:p>
        </w:tc>
        <w:tc>
          <w:tcPr>
            <w:tcW w:type="dxa" w:w="1871"/>
            <w:vAlign w:val="top"/>
          </w:tcPr>
          <w:p>
            <w:r>
              <w:rPr>
                <w:rFonts w:ascii="Arial" w:hAnsi="Arial" w:eastAsia="Arial"/>
                <w:b w:val="0"/>
                <w:sz w:val="16"/>
              </w:rPr>
              <w:t>44000 EUR</w:t>
            </w:r>
          </w:p>
        </w:tc>
        <w:tc>
          <w:tcPr>
            <w:tcW w:type="dxa" w:w="2665"/>
            <w:vAlign w:val="top"/>
          </w:tcPr>
          <w:p>
            <w:r>
              <w:rPr>
                <w:rFonts w:ascii="Arial" w:hAnsi="Arial" w:eastAsia="Arial"/>
                <w:b w:val="0"/>
                <w:sz w:val="16"/>
              </w:rPr>
              <w:t>Zeugin Dratwa, noch unbelegt</w:t>
            </w:r>
          </w:p>
        </w:tc>
      </w:tr>
      <w:tr>
        <w:tc>
          <w:tcPr>
            <w:tcW w:type="dxa" w:w="2494"/>
            <w:vAlign w:val="top"/>
          </w:tcPr>
          <w:p>
            <w:r>
              <w:rPr>
                <w:rFonts w:ascii="Arial" w:hAnsi="Arial" w:eastAsia="Arial"/>
                <w:b w:val="0"/>
                <w:sz w:val="16"/>
              </w:rPr>
              <w:t>Variable Zielvergütung</w:t>
            </w:r>
          </w:p>
        </w:tc>
        <w:tc>
          <w:tcPr>
            <w:tcW w:type="dxa" w:w="1928"/>
            <w:vAlign w:val="top"/>
          </w:tcPr>
          <w:p>
            <w:r>
              <w:rPr>
                <w:rFonts w:ascii="Arial" w:hAnsi="Arial" w:eastAsia="Arial"/>
                <w:b w:val="0"/>
                <w:sz w:val="16"/>
              </w:rPr>
              <w:t>bis 18000 EUR</w:t>
            </w:r>
          </w:p>
        </w:tc>
        <w:tc>
          <w:tcPr>
            <w:tcW w:type="dxa" w:w="2324"/>
            <w:vAlign w:val="top"/>
          </w:tcPr>
          <w:p>
            <w:r>
              <w:rPr>
                <w:rFonts w:ascii="Arial" w:hAnsi="Arial" w:eastAsia="Arial"/>
                <w:b w:val="0"/>
                <w:sz w:val="16"/>
              </w:rPr>
              <w:t>Wolters bis 35000 EUR</w:t>
            </w:r>
          </w:p>
        </w:tc>
        <w:tc>
          <w:tcPr>
            <w:tcW w:type="dxa" w:w="1871"/>
            <w:vAlign w:val="top"/>
          </w:tcPr>
          <w:p>
            <w:r>
              <w:rPr>
                <w:rFonts w:ascii="Arial" w:hAnsi="Arial" w:eastAsia="Arial"/>
                <w:b w:val="0"/>
                <w:sz w:val="16"/>
              </w:rPr>
              <w:t>bis 17000 EUR</w:t>
            </w:r>
          </w:p>
        </w:tc>
        <w:tc>
          <w:tcPr>
            <w:tcW w:type="dxa" w:w="2665"/>
            <w:vAlign w:val="top"/>
          </w:tcPr>
          <w:p>
            <w:r>
              <w:rPr>
                <w:rFonts w:ascii="Arial" w:hAnsi="Arial" w:eastAsia="Arial"/>
                <w:b w:val="0"/>
                <w:sz w:val="16"/>
              </w:rPr>
              <w:t>Vertragsunterlagen teilweise</w:t>
            </w:r>
          </w:p>
        </w:tc>
      </w:tr>
    </w:tbl>
    <w:p/>
    <w:p>
      <w:pPr>
        <w:pStyle w:val="Heading1"/>
      </w:pPr>
      <w:r>
        <w:t>3. Tatsachenprüfung</w:t>
      </w:r>
    </w:p>
    <w:p>
      <w:pPr>
        <w:jc w:val="both"/>
      </w:pPr>
      <w:r>
        <w:rPr>
          <w:rFonts w:ascii="Arial" w:hAnsi="Arial" w:eastAsia="Arial"/>
          <w:b w:val="0"/>
          <w:sz w:val="21"/>
        </w:rPr>
        <w:t>Zu klären sind Zusammensetzung der sechs Personen, objektive Vergleichskriterien, tatsächliche Aufgaben des Vorgängers, variable Vergütungsregeln und geltend gemachte Differenzierungsgründe. Die identische Stellenbezeichnung allein ersetzt keine Tätigkeitsanalyse. Umgekehrt darf die Arbeitgeberantwort variable Bestandteile nicht ohne Prüfung ihrer Regelstruktur ausblenden.</w:t>
      </w:r>
    </w:p>
    <w:p>
      <w:pPr>
        <w:pStyle w:val="Heading1"/>
      </w:pPr>
      <w:r>
        <w:t>4. Beweismittel</w:t>
      </w:r>
    </w:p>
    <w:p>
      <w:pPr>
        <w:jc w:val="both"/>
      </w:pPr>
      <w:r>
        <w:rPr>
          <w:rFonts w:ascii="Arial" w:hAnsi="Arial" w:eastAsia="Arial"/>
          <w:b w:val="0"/>
          <w:sz w:val="21"/>
        </w:rPr>
        <w:t>Anzufordern sind Entgeltgrundsätze, Zielbonusrichtlinie, Organigramme, Stellenbeschreibungen und anonymisierte Vergleichsdaten. Dr. Eva Dratwa ist zu Wissensquelle, Zeitraum und Unterlagen der Vorgängervergütung zu befragen. Für einen gerichtlichen Antrag sind Tatsachenbehauptung und bloße Auskunft getrennt zu kennzeichnen.</w:t>
      </w:r>
    </w:p>
    <w:p>
      <w:pPr>
        <w:pStyle w:val="Heading1"/>
      </w:pPr>
      <w:r>
        <w:t>5. Nächster Schritt</w:t>
      </w:r>
    </w:p>
    <w:p>
      <w:pPr>
        <w:jc w:val="both"/>
      </w:pPr>
      <w:r>
        <w:rPr>
          <w:rFonts w:ascii="Arial" w:hAnsi="Arial" w:eastAsia="Arial"/>
          <w:b w:val="0"/>
          <w:sz w:val="21"/>
        </w:rPr>
        <w:t>Die Mandantin erhält eine Fragenliste zu Tätigkeit, Verantwortung und Vergütungsverhandlungen. Gegenüber der Arbeitgeberin wird zunächst die fehlende Erläuterung der Vergleichsgruppe und der variablen Bestandteile nachgefordert. Eine Rückstandsberechnung wird als Szenario geführt, nicht als bereits feststehender Anspruch.</w:t>
      </w:r>
    </w:p>
    <w:p>
      <w:pPr>
        <w:spacing w:before="280"/>
      </w:pPr>
      <w:r>
        <w:rPr>
          <w:rFonts w:ascii="Arial" w:hAnsi="Arial" w:eastAsia="Arial"/>
          <w:b/>
          <w:sz w:val="21"/>
        </w:rPr>
        <w:t>Dr. Jonas Reuß</w:t>
      </w:r>
    </w:p>
    <w:p>
      <w:pPr>
        <w:spacing w:after="0"/>
      </w:pPr>
      <w:r>
        <w:rPr>
          <w:rFonts w:ascii="Arial" w:hAnsi="Arial" w:eastAsia="Arial"/>
          <w:b w:val="0"/>
          <w:color w:val="5C6569"/>
          <w:sz w:val="18"/>
        </w:rPr>
        <w:t>Rechtsanwalt · Fachanwalt für Arbeitsrecht</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25-ARB-530 · Körber / Steinhoff SE</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Rechtsanwaltsgesellschaft Reuß und Partner</w:t>
    </w:r>
  </w:p>
  <w:p>
    <w:pPr>
      <w:spacing w:after="0"/>
    </w:pPr>
    <w:r>
      <w:rPr>
        <w:rFonts w:ascii="Arial" w:hAnsi="Arial" w:eastAsia="Arial"/>
        <w:b w:val="0"/>
        <w:color w:val="5C6569"/>
        <w:sz w:val="14"/>
      </w:rPr>
      <w:t>Kurfürstendamm 61 · 10707 Berlin</w:t>
    </w:r>
  </w:p>
  <w:p>
    <w:pPr>
      <w:spacing w:after="0"/>
    </w:pPr>
    <w:r>
      <w:rPr>
        <w:rFonts w:ascii="Arial" w:hAnsi="Arial" w:eastAsia="Arial"/>
        <w:b w:val="0"/>
        <w:color w:val="5C6569"/>
        <w:sz w:val="14"/>
      </w:rPr>
      <w:t>Telefon 030 88641-0 · Telefax 030 88641-29 · post@reuss-partner.example</w:t>
    </w:r>
  </w:p>
  <w:p>
    <w:pPr>
      <w:spacing w:after="0"/>
    </w:pPr>
    <w:r>
      <w:rPr>
        <w:rFonts w:ascii="Arial" w:hAnsi="Arial" w:eastAsia="Arial"/>
        <w:b w:val="0"/>
        <w:color w:val="5C6569"/>
        <w:sz w:val="14"/>
      </w:rPr>
      <w:t>Dr. Jonas Reuß · Fachanwalt für Arbeitsrecht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Auskunftsverfahren, Vergleichsgruppe und Entgeltdifferenzen</dc:title>
  <dc:subject>25-ARB-530 / jr</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