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Pr>
      <w:tblGrid>
        <w:gridCol w:w="4762"/>
        <w:gridCol w:w="4762"/>
      </w:tblGrid>
      <w:tr>
        <w:tc>
          <w:tcPr>
            <w:tcW w:type="dxa" w:w="1984"/>
            <w:vAlign w:val="center"/>
          </w:tcPr>
          <w:p>
            <w:r>
              <w:rPr>
                <w:rFonts w:ascii="Arial" w:hAnsi="Arial"/>
                <w:b/>
                <w:sz w:val="17"/>
              </w:rPr>
              <w:t>Bearbeitet</w:t>
            </w:r>
          </w:p>
        </w:tc>
        <w:tc>
          <w:tcPr>
            <w:tcW w:type="dxa" w:w="3402"/>
            <w:vAlign w:val="center"/>
          </w:tcPr>
          <w:p>
            <w:r>
              <w:rPr>
                <w:rFonts w:ascii="Arial" w:hAnsi="Arial"/>
                <w:sz w:val="17"/>
              </w:rPr>
              <w:t>5. Juni 2025</w:t>
            </w:r>
          </w:p>
        </w:tc>
      </w:tr>
      <w:tr>
        <w:tc>
          <w:tcPr>
            <w:tcW w:type="dxa" w:w="1984"/>
            <w:vAlign w:val="center"/>
          </w:tcPr>
          <w:p>
            <w:r>
              <w:rPr>
                <w:rFonts w:ascii="Arial" w:hAnsi="Arial"/>
                <w:b/>
                <w:sz w:val="17"/>
              </w:rPr>
              <w:t>Dokumentenstand</w:t>
            </w:r>
          </w:p>
        </w:tc>
        <w:tc>
          <w:tcPr>
            <w:tcW w:type="dxa" w:w="3402"/>
            <w:vAlign w:val="center"/>
          </w:tcPr>
          <w:p>
            <w:r>
              <w:rPr>
                <w:rFonts w:ascii="Arial" w:hAnsi="Arial"/>
                <w:sz w:val="17"/>
              </w:rPr>
              <w:t>Grundvereinbarung und zwei Verlängerungen</w:t>
            </w:r>
          </w:p>
        </w:tc>
      </w:tr>
      <w:tr>
        <w:tc>
          <w:tcPr>
            <w:tcW w:type="dxa" w:w="1984"/>
            <w:vAlign w:val="center"/>
          </w:tcPr>
          <w:p>
            <w:r>
              <w:rPr>
                <w:rFonts w:ascii="Arial" w:hAnsi="Arial"/>
                <w:b/>
                <w:sz w:val="17"/>
              </w:rPr>
              <w:t>Unser Zeichen</w:t>
            </w:r>
          </w:p>
        </w:tc>
        <w:tc>
          <w:tcPr>
            <w:tcW w:type="dxa" w:w="3402"/>
            <w:vAlign w:val="center"/>
          </w:tcPr>
          <w:p>
            <w:r>
              <w:rPr>
                <w:rFonts w:ascii="Arial" w:hAnsi="Arial"/>
                <w:sz w:val="17"/>
              </w:rPr>
              <w:t>25/1187-KÖ/re</w:t>
            </w:r>
          </w:p>
        </w:tc>
      </w:tr>
    </w:tbl>
    <w:p>
      <w:r/>
    </w:p>
    <w:p>
      <w:pPr>
        <w:pStyle w:val="Title"/>
      </w:pPr>
      <w:r>
        <w:t>Prüfvermerk zur Zusatzfunktion Senior Advisor Konzernprozesse</w:t>
      </w:r>
    </w:p>
    <w:p>
      <w:pPr>
        <w:pStyle w:val="Heading1"/>
      </w:pPr>
      <w:r>
        <w:t>1. Belegter Vertragsverlauf</w:t>
      </w:r>
    </w:p>
    <w:p>
      <w:r>
        <w:t>Die schriftliche Grundvereinbarung läuft vom 15. Februar bis 14. August 2023. Die erste schriftliche Verlängerung umfasst den Zeitraum 15. August 2023 bis 14. Februar 2024, die zweite den Zeitraum 15. Februar bis 14. August 2024. Damit sind zunächst achtzehn Monate schriftlich dokumentiert. Die frühere Aktennotiz, bereits die zweite Verlängerung überschreite zwei Jahre, war rechnerisch unzutreffend und wird nicht weiterverwendet.</w:t>
      </w:r>
    </w:p>
    <w:p>
      <w:pPr>
        <w:pStyle w:val="Heading1"/>
      </w:pPr>
      <w:r>
        <w:t>2. Tatsächliche Fortsetzung</w:t>
      </w:r>
    </w:p>
    <w:p>
      <w:r>
        <w:t>Frau Dr. Körber berichtet von einer mündlichen Aussage des Personalleiters Anfang September 2024. Die Tätigkeit und die Zulagenzahlung liefen jedenfalls bis April 2025 weiter. Ab dem 15. August 2024 fehlt eine beidseitig unterzeichnete Verlängerungsurkunde. Ob eine feste Laufzeit, eine unbefristete Fortsetzung oder nur eine vorläufige Aufgabenwahrnehmung vereinbart wurde, ist anhand von Kommunikation, Abrechnungen und Zeugen zu klären.</w:t>
      </w:r>
    </w:p>
    <w:p>
      <w:pPr>
        <w:pStyle w:val="Heading1"/>
      </w:pPr>
      <w:r>
        <w:t>3. Prüfungsachsen</w:t>
      </w:r>
    </w:p>
    <w:p>
      <w:r>
        <w:t>Getrennt zu prüfen sind die Schriftform einer Befristungsabrede, die Höchstdauer einer möglichen sachgrundlosen Befristung, die Zahl der Verlängerungen und die Frage, ob bei einer Verlängerung weitere Vertragsbedingungen verändert wurden. Die Zweijahresgrenze wäre ausgehend vom 15. Februar 2023 erst mit Ablauf des 14. Februar 2025 erreicht. Eine tatsächliche Fortsetzung darüber hinaus ist belegt, ihr Rechtsgrund aber nicht.</w:t>
      </w:r>
    </w:p>
    <w:p>
      <w:pPr>
        <w:pStyle w:val="Heading1"/>
      </w:pPr>
      <w:r>
        <w:t>4. Beweisquellen</w:t>
      </w:r>
    </w:p>
    <w:p>
      <w:r>
        <w:t>Vorhanden sind die drei schriftlichen Urkunden, Gehaltsabrechnungen mit Zulage, Kalendertermine der Prozessrunde und Arbeitsergebnisse. Noch offen sind Personalakte, Freigabevermerke des Vorstands, Aussage der Personalreferentin Miriam Schultes und ein möglicher Entwurf im HR-System. Die behauptete mündliche Aussage Branitz' ist in der gesonderten Aktennotiz 03g festgehalten.</w:t>
      </w:r>
    </w:p>
    <w:p>
      <w:pPr>
        <w:pStyle w:val="Heading1"/>
      </w:pPr>
      <w:r>
        <w:t>5. Weiteres Vorgehen</w:t>
      </w:r>
    </w:p>
    <w:p>
      <w:r>
        <w:t>Vor einer Antragstellung sind der letzte tatsächliche Einsatz, die letzte Zulagenzahlung und die genaue Erklärung zum Fortbestand der Funktion festzustellen. Eine Festlegung zur Rechtsfolge erfolgt erst nach Abschluss dieser Tatsachenprüfung.</w:t>
      </w:r>
    </w:p>
    <w:p>
      <w:r/>
    </w:p>
    <w:p>
      <w:r>
        <w:t>Dr. Jonas Reuß</w:t>
        <w:br/>
        <w:t>Rechtsanwalt · Fachanwalt für Arbeitsrecht</w:t>
      </w:r>
    </w:p>
    <w:sectPr w:rsidR="00FC693F" w:rsidRPr="0006063C" w:rsidSect="00034616">
      <w:headerReference w:type="default" r:id="rId9"/>
      <w:footerReference w:type="default" r:id="rId10"/>
      <w:pgSz w:w="11906" w:h="16838"/>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16_befristungsanteil_senior_advisor | </w:t>
    </w:r>
    <w:r>
      <w:rPr>
        <w:rFonts w:ascii="Arial" w:hAnsi="Arial"/>
        <w:sz w:val="16"/>
      </w:rPr>
      <w:t xml:space="preserve">Seite </w:t>
    </w:r>
    <w:r>
      <w:rPr>
        <w:rFonts w:ascii="Arial" w:hAnsi="Arial"/>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b/>
        <w:color w:val="5B2831"/>
        <w:sz w:val="20"/>
      </w:rPr>
      <w:t>Reuß · Martens · Schlieper Rechtsanwälte PartG mbB</w:t>
    </w:r>
  </w:p>
  <w:p>
    <w:pPr>
      <w:spacing w:after="0"/>
      <w:pBdr>
        <w:bottom w:val="single" w:sz="8" w:space="3" w:color="5B2831"/>
      </w:pBdr>
    </w:pPr>
    <w:r>
      <w:rPr>
        <w:rFonts w:ascii="Arial" w:hAnsi="Arial"/>
        <w:sz w:val="16"/>
      </w:rPr>
      <w:t>Friedrichstraße 92, 10117 Berlin | Telefon 030 308 74-0 | Telefax 030 308 74-199 | kanzlei@reuss-martens.example.invalid | Berufshaftpflicht: HanseMerkur Allgemeine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5B2831"/>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5B283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5B2831"/>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Prüfvermerk zur Zusatzfunktion Senior Advisor Konzernprozesse</dc:title>
  <dc:subject/>
  <dc:creator>Reuß · Martens · Schlieper Rechtsanwälte PartG mbB</dc:creator>
  <cp:keywords/>
  <dc:description>generated by python-docx</dc:description>
  <cp:lastModifiedBy/>
  <cp:revision>1</cp:revision>
  <dcterms:created xsi:type="dcterms:W3CDTF">2013-12-23T23:15:00Z</dcterms:created>
  <dcterms:modified xsi:type="dcterms:W3CDTF">2013-12-23T23:15:00Z</dcterms:modified>
  <cp:category/>
</cp:coreProperties>
</file>