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ALBERS &amp; FENNEKER RECHTSANWÄLTE</w:t>
            </w:r>
          </w:p>
        </w:tc>
        <w:tc>
          <w:tcPr>
            <w:tcW w:type="dxa" w:w="3515"/>
            <w:vAlign w:val="center"/>
            <w:tcMar>
              <w:top w:w="70" w:type="dxa"/>
              <w:left w:w="70" w:type="dxa"/>
              <w:bottom w:w="70" w:type="dxa"/>
              <w:right w:w="70" w:type="dxa"/>
            </w:tcMar>
          </w:tcPr>
          <w:p>
            <w:pPr>
              <w:spacing w:after="0"/>
              <w:jc w:val="right"/>
            </w:pPr>
            <w:r>
              <w:rPr>
                <w:rFonts w:ascii="Arial" w:hAnsi="Arial"/>
                <w:sz w:val="16"/>
              </w:rPr>
              <w:t>Prinzipalmarkt 14 · 48143 Münster</w:t>
              <w:br/>
              <w:t>Telefon 0251 480 91-0</w:t>
              <w:br/>
              <w:t>kanzlei@albers-fenneker.example.invalid</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Wiebke Hagedorn, Rosenweg 18, 48157 Münster</w:t>
            </w:r>
          </w:p>
        </w:tc>
      </w:tr>
      <w:tr>
        <w:tc>
          <w:tcPr>
            <w:tcW w:type="dxa" w:w="2041"/>
            <w:shd w:fill="E9EEF2"/>
            <w:tcMar>
              <w:top w:w="90" w:type="dxa"/>
              <w:left w:w="90" w:type="dxa"/>
              <w:bottom w:w="90" w:type="dxa"/>
              <w:right w:w="90" w:type="dxa"/>
            </w:tcMar>
            <w:vAlign w:val="center"/>
          </w:tcPr>
          <w:p>
            <w:r>
              <w:rPr>
                <w:rFonts w:ascii="Arial" w:hAnsi="Arial"/>
                <w:b/>
                <w:sz w:val="18"/>
              </w:rPr>
              <w:t>Gegenseite</w:t>
            </w:r>
          </w:p>
        </w:tc>
        <w:tc>
          <w:tcPr>
            <w:tcW w:type="dxa" w:w="6973"/>
            <w:tcMar>
              <w:top w:w="90" w:type="dxa"/>
              <w:left w:w="90" w:type="dxa"/>
              <w:bottom w:w="90" w:type="dxa"/>
              <w:right w:w="90" w:type="dxa"/>
            </w:tcMar>
            <w:vAlign w:val="center"/>
          </w:tcPr>
          <w:p>
            <w:r>
              <w:rPr>
                <w:rFonts w:ascii="Arial" w:hAnsi="Arial"/>
                <w:sz w:val="18"/>
              </w:rPr>
              <w:t>Gartenbau Blühendes Leben GmbH, Wolbecker Straße 418, 48157 Münster</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26-0618-A / gh</w:t>
            </w:r>
          </w:p>
        </w:tc>
      </w:tr>
      <w:tr>
        <w:tc>
          <w:tcPr>
            <w:tcW w:type="dxa" w:w="2041"/>
            <w:shd w:fill="E9EEF2"/>
            <w:tcMar>
              <w:top w:w="90" w:type="dxa"/>
              <w:left w:w="90" w:type="dxa"/>
              <w:bottom w:w="90" w:type="dxa"/>
              <w:right w:w="90" w:type="dxa"/>
            </w:tcMar>
            <w:vAlign w:val="center"/>
          </w:tcPr>
          <w:p>
            <w:r>
              <w:rPr>
                <w:rFonts w:ascii="Arial" w:hAnsi="Arial"/>
                <w:b/>
                <w:sz w:val="18"/>
              </w:rPr>
              <w:t>Stand</w:t>
            </w:r>
          </w:p>
        </w:tc>
        <w:tc>
          <w:tcPr>
            <w:tcW w:type="dxa" w:w="6973"/>
            <w:tcMar>
              <w:top w:w="90" w:type="dxa"/>
              <w:left w:w="90" w:type="dxa"/>
              <w:bottom w:w="90" w:type="dxa"/>
              <w:right w:w="90" w:type="dxa"/>
            </w:tcMar>
            <w:vAlign w:val="center"/>
          </w:tcPr>
          <w:p>
            <w:r>
              <w:rPr>
                <w:rFonts w:ascii="Arial" w:hAnsi="Arial"/>
                <w:sz w:val="18"/>
              </w:rPr>
              <w:t>9. Juni 2026</w:t>
            </w:r>
          </w:p>
        </w:tc>
      </w:tr>
      <w:tr>
        <w:tc>
          <w:tcPr>
            <w:tcW w:type="dxa" w:w="2041"/>
            <w:shd w:fill="E9EEF2"/>
            <w:tcMar>
              <w:top w:w="90" w:type="dxa"/>
              <w:left w:w="90" w:type="dxa"/>
              <w:bottom w:w="90" w:type="dxa"/>
              <w:right w:w="90" w:type="dxa"/>
            </w:tcMar>
            <w:vAlign w:val="center"/>
          </w:tcPr>
          <w:p>
            <w:r>
              <w:rPr>
                <w:rFonts w:ascii="Arial" w:hAnsi="Arial"/>
                <w:b/>
                <w:sz w:val="18"/>
              </w:rPr>
              <w:t>Dokument</w:t>
            </w:r>
          </w:p>
        </w:tc>
        <w:tc>
          <w:tcPr>
            <w:tcW w:type="dxa" w:w="6973"/>
            <w:tcMar>
              <w:top w:w="90" w:type="dxa"/>
              <w:left w:w="90" w:type="dxa"/>
              <w:bottom w:w="90" w:type="dxa"/>
              <w:right w:w="90" w:type="dxa"/>
            </w:tcMar>
            <w:vAlign w:val="center"/>
          </w:tcPr>
          <w:p>
            <w:r>
              <w:rPr>
                <w:rFonts w:ascii="Arial" w:hAnsi="Arial"/>
                <w:sz w:val="18"/>
              </w:rPr>
              <w:t>Prüfvermerk</w:t>
            </w:r>
          </w:p>
        </w:tc>
      </w:tr>
    </w:tbl>
    <w:p>
      <w:pPr>
        <w:spacing w:after="20"/>
      </w:pPr>
    </w:p>
    <w:p>
      <w:pPr>
        <w:pStyle w:val="Title"/>
      </w:pPr>
      <w:r>
        <w:t>Prüfvermerk zum Zwischenzeugnis</w:t>
      </w:r>
    </w:p>
    <w:p>
      <w:pPr>
        <w:pStyle w:val="Heading1"/>
      </w:pPr>
      <w:r>
        <w:t>1. Prüfauftrag und Quellenstand</w:t>
      </w:r>
    </w:p>
    <w:p>
      <w:r>
        <w:t>Gegenstand ist ausschließlich die am 2. Juni 2026 ausgehändigte Fassung. Die Kanzlei verfügt bislang über einen Scan, nicht über die Originaldatei oder den Freigabeverlauf. Tatsachen aus der internen Kassenkorrespondenz werden getrennt erfasst, weil nicht belegt ist, ob sie in die Zeugnisredaktion eingeflossen sind.</w:t>
      </w:r>
    </w:p>
    <w:p>
      <w:r>
        <w:t>Maßstab der weiteren Bearbeitung sind die tatsächliche Tätigkeit, die Vollständigkeit der Aufgabenbeschreibung, die sprachliche Gesamtbewertung, die Verhaltensformel, die äußere Form und die Person des Unterzeichners. Ausgangspunkt ist Paragraf 109 GewO; der konkrete Inhalt bleibt anhand der belegten Tätigkeit und der bisherigen Beurteilungen zu prüfen.</w:t>
      </w:r>
    </w:p>
    <w:tbl>
      <w:tblPr>
        <w:tblW w:type="auto" w:w="0"/>
        <w:jc w:val="center"/>
        <w:tblLayout w:type="fixed"/>
        <w:tblLook w:firstColumn="1" w:firstRow="1" w:lastColumn="0" w:lastRow="0" w:noHBand="0" w:noVBand="1" w:val="04A0"/>
      </w:tblPr>
      <w:tblGrid>
        <w:gridCol w:w="3175"/>
        <w:gridCol w:w="3175"/>
        <w:gridCol w:w="3175"/>
      </w:tblGrid>
      <w:tr>
        <w:tc>
          <w:tcPr>
            <w:tcW w:type="dxa" w:w="1701"/>
            <w:shd w:fill="385A64"/>
            <w:tcMar>
              <w:top w:w="90" w:type="dxa"/>
              <w:left w:w="90" w:type="dxa"/>
              <w:bottom w:w="90" w:type="dxa"/>
              <w:right w:w="90" w:type="dxa"/>
            </w:tcMar>
          </w:tcPr>
          <w:p>
            <w:r>
              <w:rPr>
                <w:rFonts w:ascii="Arial" w:hAnsi="Arial"/>
                <w:b/>
                <w:color w:val="FFFFFF"/>
                <w:sz w:val="17"/>
              </w:rPr>
              <w:t>Prüffeld</w:t>
            </w:r>
          </w:p>
        </w:tc>
        <w:tc>
          <w:tcPr>
            <w:tcW w:type="dxa" w:w="4365"/>
            <w:shd w:fill="385A64"/>
            <w:tcMar>
              <w:top w:w="90" w:type="dxa"/>
              <w:left w:w="90" w:type="dxa"/>
              <w:bottom w:w="90" w:type="dxa"/>
              <w:right w:w="90" w:type="dxa"/>
            </w:tcMar>
          </w:tcPr>
          <w:p>
            <w:r>
              <w:rPr>
                <w:rFonts w:ascii="Arial" w:hAnsi="Arial"/>
                <w:b/>
                <w:color w:val="FFFFFF"/>
                <w:sz w:val="17"/>
              </w:rPr>
              <w:t>Dokumentierter Befund</w:t>
            </w:r>
          </w:p>
        </w:tc>
        <w:tc>
          <w:tcPr>
            <w:tcW w:type="dxa" w:w="3005"/>
            <w:shd w:fill="385A64"/>
            <w:tcMar>
              <w:top w:w="90" w:type="dxa"/>
              <w:left w:w="90" w:type="dxa"/>
              <w:bottom w:w="90" w:type="dxa"/>
              <w:right w:w="90" w:type="dxa"/>
            </w:tcMar>
          </w:tcPr>
          <w:p>
            <w:r>
              <w:rPr>
                <w:rFonts w:ascii="Arial" w:hAnsi="Arial"/>
                <w:b/>
                <w:color w:val="FFFFFF"/>
                <w:sz w:val="17"/>
              </w:rPr>
              <w:t>Noch benötigter Beleg</w:t>
            </w:r>
          </w:p>
        </w:tc>
      </w:tr>
      <w:tr>
        <w:tc>
          <w:tcPr>
            <w:tcW w:type="dxa" w:w="1701"/>
            <w:shd w:fill="F4F6F7"/>
            <w:tcMar>
              <w:top w:w="90" w:type="dxa"/>
              <w:left w:w="90" w:type="dxa"/>
              <w:bottom w:w="90" w:type="dxa"/>
              <w:right w:w="90" w:type="dxa"/>
            </w:tcMar>
            <w:vAlign w:val="center"/>
          </w:tcPr>
          <w:p>
            <w:r>
              <w:rPr>
                <w:rFonts w:ascii="Arial" w:hAnsi="Arial"/>
                <w:sz w:val="16"/>
              </w:rPr>
              <w:t>Tätigkeit</w:t>
            </w:r>
          </w:p>
        </w:tc>
        <w:tc>
          <w:tcPr>
            <w:tcW w:type="dxa" w:w="4365"/>
            <w:shd w:fill="F4F6F7"/>
            <w:tcMar>
              <w:top w:w="90" w:type="dxa"/>
              <w:left w:w="90" w:type="dxa"/>
              <w:bottom w:w="90" w:type="dxa"/>
              <w:right w:w="90" w:type="dxa"/>
            </w:tcMar>
            <w:vAlign w:val="center"/>
          </w:tcPr>
          <w:p>
            <w:r>
              <w:rPr>
                <w:rFonts w:ascii="Arial" w:hAnsi="Arial"/>
                <w:sz w:val="16"/>
              </w:rPr>
              <w:t>Teamkoordination, Ausbildung und Reklamationen fehlen gegenüber Änderungsvereinbarung und Jahresgespräch.</w:t>
            </w:r>
          </w:p>
        </w:tc>
        <w:tc>
          <w:tcPr>
            <w:tcW w:type="dxa" w:w="3005"/>
            <w:shd w:fill="F4F6F7"/>
            <w:tcMar>
              <w:top w:w="90" w:type="dxa"/>
              <w:left w:w="90" w:type="dxa"/>
              <w:bottom w:w="90" w:type="dxa"/>
              <w:right w:w="90" w:type="dxa"/>
            </w:tcMar>
            <w:vAlign w:val="center"/>
          </w:tcPr>
          <w:p>
            <w:r>
              <w:rPr>
                <w:rFonts w:ascii="Arial" w:hAnsi="Arial"/>
                <w:sz w:val="16"/>
              </w:rPr>
              <w:t>Aktuelle Stellenbeschreibung und Entwurf vom 26. Mai</w:t>
            </w:r>
          </w:p>
        </w:tc>
      </w:tr>
      <w:tr>
        <w:tc>
          <w:tcPr>
            <w:tcW w:type="dxa" w:w="1701"/>
            <w:tcMar>
              <w:top w:w="90" w:type="dxa"/>
              <w:left w:w="90" w:type="dxa"/>
              <w:bottom w:w="90" w:type="dxa"/>
              <w:right w:w="90" w:type="dxa"/>
            </w:tcMar>
            <w:vAlign w:val="center"/>
          </w:tcPr>
          <w:p>
            <w:r>
              <w:rPr>
                <w:rFonts w:ascii="Arial" w:hAnsi="Arial"/>
                <w:sz w:val="16"/>
              </w:rPr>
              <w:t>Leistung</w:t>
            </w:r>
          </w:p>
        </w:tc>
        <w:tc>
          <w:tcPr>
            <w:tcW w:type="dxa" w:w="4365"/>
            <w:tcMar>
              <w:top w:w="90" w:type="dxa"/>
              <w:left w:w="90" w:type="dxa"/>
              <w:bottom w:w="90" w:type="dxa"/>
              <w:right w:w="90" w:type="dxa"/>
            </w:tcMar>
            <w:vAlign w:val="center"/>
          </w:tcPr>
          <w:p>
            <w:r>
              <w:rPr>
                <w:rFonts w:ascii="Arial" w:hAnsi="Arial"/>
                <w:sz w:val="16"/>
              </w:rPr>
              <w:t>Formel „zu unserer Zufriedenheit“; Jahresgespräch 2023 weist überwiegend vier von fünf Punkten aus.</w:t>
            </w:r>
          </w:p>
        </w:tc>
        <w:tc>
          <w:tcPr>
            <w:tcW w:type="dxa" w:w="3005"/>
            <w:tcMar>
              <w:top w:w="90" w:type="dxa"/>
              <w:left w:w="90" w:type="dxa"/>
              <w:bottom w:w="90" w:type="dxa"/>
              <w:right w:w="90" w:type="dxa"/>
            </w:tcMar>
            <w:vAlign w:val="center"/>
          </w:tcPr>
          <w:p>
            <w:r>
              <w:rPr>
                <w:rFonts w:ascii="Arial" w:hAnsi="Arial"/>
                <w:sz w:val="16"/>
              </w:rPr>
              <w:t>Bewertungsbogen im Original und Freigabevermerk</w:t>
            </w:r>
          </w:p>
        </w:tc>
      </w:tr>
      <w:tr>
        <w:tc>
          <w:tcPr>
            <w:tcW w:type="dxa" w:w="1701"/>
            <w:shd w:fill="F4F6F7"/>
            <w:tcMar>
              <w:top w:w="90" w:type="dxa"/>
              <w:left w:w="90" w:type="dxa"/>
              <w:bottom w:w="90" w:type="dxa"/>
              <w:right w:w="90" w:type="dxa"/>
            </w:tcMar>
            <w:vAlign w:val="center"/>
          </w:tcPr>
          <w:p>
            <w:r>
              <w:rPr>
                <w:rFonts w:ascii="Arial" w:hAnsi="Arial"/>
                <w:sz w:val="16"/>
              </w:rPr>
              <w:t>Verhalten</w:t>
            </w:r>
          </w:p>
        </w:tc>
        <w:tc>
          <w:tcPr>
            <w:tcW w:type="dxa" w:w="4365"/>
            <w:shd w:fill="F4F6F7"/>
            <w:tcMar>
              <w:top w:w="90" w:type="dxa"/>
              <w:left w:w="90" w:type="dxa"/>
              <w:bottom w:w="90" w:type="dxa"/>
              <w:right w:w="90" w:type="dxa"/>
            </w:tcMar>
            <w:vAlign w:val="center"/>
          </w:tcPr>
          <w:p>
            <w:r>
              <w:rPr>
                <w:rFonts w:ascii="Arial" w:hAnsi="Arial"/>
                <w:sz w:val="16"/>
              </w:rPr>
              <w:t>Genannt sind Vorgesetzte und Kollegen; Kunden und Auszubildende fehlen.</w:t>
            </w:r>
          </w:p>
        </w:tc>
        <w:tc>
          <w:tcPr>
            <w:tcW w:type="dxa" w:w="3005"/>
            <w:shd w:fill="F4F6F7"/>
            <w:tcMar>
              <w:top w:w="90" w:type="dxa"/>
              <w:left w:w="90" w:type="dxa"/>
              <w:bottom w:w="90" w:type="dxa"/>
              <w:right w:w="90" w:type="dxa"/>
            </w:tcMar>
            <w:vAlign w:val="center"/>
          </w:tcPr>
          <w:p>
            <w:r>
              <w:rPr>
                <w:rFonts w:ascii="Arial" w:hAnsi="Arial"/>
                <w:sz w:val="16"/>
              </w:rPr>
              <w:t>Beschwerde- und Schulungsnachweise</w:t>
            </w:r>
          </w:p>
        </w:tc>
      </w:tr>
      <w:tr>
        <w:tc>
          <w:tcPr>
            <w:tcW w:type="dxa" w:w="1701"/>
            <w:tcMar>
              <w:top w:w="90" w:type="dxa"/>
              <w:left w:w="90" w:type="dxa"/>
              <w:bottom w:w="90" w:type="dxa"/>
              <w:right w:w="90" w:type="dxa"/>
            </w:tcMar>
            <w:vAlign w:val="center"/>
          </w:tcPr>
          <w:p>
            <w:r>
              <w:rPr>
                <w:rFonts w:ascii="Arial" w:hAnsi="Arial"/>
                <w:sz w:val="16"/>
              </w:rPr>
              <w:t>Schluss</w:t>
            </w:r>
          </w:p>
        </w:tc>
        <w:tc>
          <w:tcPr>
            <w:tcW w:type="dxa" w:w="4365"/>
            <w:tcMar>
              <w:top w:w="90" w:type="dxa"/>
              <w:left w:w="90" w:type="dxa"/>
              <w:bottom w:w="90" w:type="dxa"/>
              <w:right w:w="90" w:type="dxa"/>
            </w:tcMar>
            <w:vAlign w:val="center"/>
          </w:tcPr>
          <w:p>
            <w:r>
              <w:rPr>
                <w:rFonts w:ascii="Arial" w:hAnsi="Arial"/>
                <w:sz w:val="16"/>
              </w:rPr>
              <w:t>Keine Dankes- oder Zukunftsformel; Arbeitsverhältnis dauert an.</w:t>
            </w:r>
          </w:p>
        </w:tc>
        <w:tc>
          <w:tcPr>
            <w:tcW w:type="dxa" w:w="3005"/>
            <w:tcMar>
              <w:top w:w="90" w:type="dxa"/>
              <w:left w:w="90" w:type="dxa"/>
              <w:bottom w:w="90" w:type="dxa"/>
              <w:right w:w="90" w:type="dxa"/>
            </w:tcMar>
            <w:vAlign w:val="center"/>
          </w:tcPr>
          <w:p>
            <w:r>
              <w:rPr>
                <w:rFonts w:ascii="Arial" w:hAnsi="Arial"/>
                <w:sz w:val="16"/>
              </w:rPr>
              <w:t>Interne Zeugnisrichtlinie, soweit vorhanden</w:t>
            </w:r>
          </w:p>
        </w:tc>
      </w:tr>
      <w:tr>
        <w:tc>
          <w:tcPr>
            <w:tcW w:type="dxa" w:w="1701"/>
            <w:shd w:fill="F4F6F7"/>
            <w:tcMar>
              <w:top w:w="90" w:type="dxa"/>
              <w:left w:w="90" w:type="dxa"/>
              <w:bottom w:w="90" w:type="dxa"/>
              <w:right w:w="90" w:type="dxa"/>
            </w:tcMar>
            <w:vAlign w:val="center"/>
          </w:tcPr>
          <w:p>
            <w:r>
              <w:rPr>
                <w:rFonts w:ascii="Arial" w:hAnsi="Arial"/>
                <w:sz w:val="16"/>
              </w:rPr>
              <w:t>Unterschrift</w:t>
            </w:r>
          </w:p>
        </w:tc>
        <w:tc>
          <w:tcPr>
            <w:tcW w:type="dxa" w:w="4365"/>
            <w:shd w:fill="F4F6F7"/>
            <w:tcMar>
              <w:top w:w="90" w:type="dxa"/>
              <w:left w:w="90" w:type="dxa"/>
              <w:bottom w:w="90" w:type="dxa"/>
              <w:right w:w="90" w:type="dxa"/>
            </w:tcMar>
            <w:vAlign w:val="center"/>
          </w:tcPr>
          <w:p>
            <w:r>
              <w:rPr>
                <w:rFonts w:ascii="Arial" w:hAnsi="Arial"/>
                <w:sz w:val="16"/>
              </w:rPr>
              <w:t>Personalassistentin ohne Funktionszusatz; Hierarchie und Vollmacht unklar.</w:t>
            </w:r>
          </w:p>
        </w:tc>
        <w:tc>
          <w:tcPr>
            <w:tcW w:type="dxa" w:w="3005"/>
            <w:shd w:fill="F4F6F7"/>
            <w:tcMar>
              <w:top w:w="90" w:type="dxa"/>
              <w:left w:w="90" w:type="dxa"/>
              <w:bottom w:w="90" w:type="dxa"/>
              <w:right w:w="90" w:type="dxa"/>
            </w:tcMar>
            <w:vAlign w:val="center"/>
          </w:tcPr>
          <w:p>
            <w:r>
              <w:rPr>
                <w:rFonts w:ascii="Arial" w:hAnsi="Arial"/>
                <w:sz w:val="16"/>
              </w:rPr>
              <w:t>Organigramm und Zeichnungsregel</w:t>
            </w:r>
          </w:p>
        </w:tc>
      </w:tr>
      <w:tr>
        <w:tc>
          <w:tcPr>
            <w:tcW w:type="dxa" w:w="1701"/>
            <w:tcMar>
              <w:top w:w="90" w:type="dxa"/>
              <w:left w:w="90" w:type="dxa"/>
              <w:bottom w:w="90" w:type="dxa"/>
              <w:right w:w="90" w:type="dxa"/>
            </w:tcMar>
            <w:vAlign w:val="center"/>
          </w:tcPr>
          <w:p>
            <w:r>
              <w:rPr>
                <w:rFonts w:ascii="Arial" w:hAnsi="Arial"/>
                <w:sz w:val="16"/>
              </w:rPr>
              <w:t>Kassenereignis</w:t>
            </w:r>
          </w:p>
        </w:tc>
        <w:tc>
          <w:tcPr>
            <w:tcW w:type="dxa" w:w="4365"/>
            <w:tcMar>
              <w:top w:w="90" w:type="dxa"/>
              <w:left w:w="90" w:type="dxa"/>
              <w:bottom w:w="90" w:type="dxa"/>
              <w:right w:w="90" w:type="dxa"/>
            </w:tcMar>
            <w:vAlign w:val="center"/>
          </w:tcPr>
          <w:p>
            <w:r>
              <w:rPr>
                <w:rFonts w:ascii="Arial" w:hAnsi="Arial"/>
                <w:sz w:val="16"/>
              </w:rPr>
              <w:t>Differenz wurde am Folgetag durch Buchungsvorgang erklärt; keine Abmahnung bekannt.</w:t>
            </w:r>
          </w:p>
        </w:tc>
        <w:tc>
          <w:tcPr>
            <w:tcW w:type="dxa" w:w="3005"/>
            <w:tcMar>
              <w:top w:w="90" w:type="dxa"/>
              <w:left w:w="90" w:type="dxa"/>
              <w:bottom w:w="90" w:type="dxa"/>
              <w:right w:w="90" w:type="dxa"/>
            </w:tcMar>
            <w:vAlign w:val="center"/>
          </w:tcPr>
          <w:p>
            <w:r>
              <w:rPr>
                <w:rFonts w:ascii="Arial" w:hAnsi="Arial"/>
                <w:sz w:val="16"/>
              </w:rPr>
              <w:t>Buchungsjournal und vollständige E-Mail-Kette</w:t>
            </w:r>
          </w:p>
        </w:tc>
      </w:tr>
    </w:tbl>
    <w:p>
      <w:pPr>
        <w:spacing w:after="20"/>
      </w:pPr>
    </w:p>
    <w:p>
      <w:pPr>
        <w:pStyle w:val="Heading1"/>
      </w:pPr>
      <w:r>
        <w:t>2. Nächster Arbeitsschritt</w:t>
      </w:r>
    </w:p>
    <w:p>
      <w:r>
        <w:t>Nach Eingang der Arbeitgeberunterlagen werden die Tätigkeiten und Bewertungsbausteine in einer Synopse gegenübergestellt. Nicht belegte Vermutungen bleiben dort ausdrücklich offen. Die Mandantin entscheidet anschließend, ob zunächst eine einvernehmliche Neufassung verlangt oder ein förmliches Berichtigungsverlangen versandt wird.</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ALBERS &amp; FENNEKER RECHTSANWÄLTE · 26-0618-A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08-gutachtenstand</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