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GARTENBAU BLÜHENDES LEBEN GMBH</w:t>
            </w:r>
          </w:p>
        </w:tc>
        <w:tc>
          <w:tcPr>
            <w:tcW w:type="dxa" w:w="3515"/>
            <w:vAlign w:val="center"/>
            <w:tcMar>
              <w:top w:w="70" w:type="dxa"/>
              <w:left w:w="70" w:type="dxa"/>
              <w:bottom w:w="70" w:type="dxa"/>
              <w:right w:w="70" w:type="dxa"/>
            </w:tcMar>
          </w:tcPr>
          <w:p>
            <w:pPr>
              <w:spacing w:after="0"/>
              <w:jc w:val="right"/>
            </w:pPr>
            <w:r>
              <w:rPr>
                <w:rFonts w:ascii="Arial" w:hAnsi="Arial"/>
                <w:sz w:val="16"/>
              </w:rPr>
              <w:t>Wolbecker Straße 418 · 48157 Münster</w:t>
              <w:br/>
              <w:t>Telefon 0251 620 44-0 · HRB 16482</w:t>
              <w:br/>
              <w:t>personal@bluehendes-leben.example.invalid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w:t>
            </w:r>
          </w:p>
        </w:tc>
        <w:tc>
          <w:tcPr>
            <w:tcW w:type="dxa" w:w="6973"/>
            <w:tcMar>
              <w:top w:w="90" w:type="dxa"/>
              <w:left w:w="90" w:type="dxa"/>
              <w:bottom w:w="90" w:type="dxa"/>
              <w:right w:w="90" w:type="dxa"/>
            </w:tcMar>
            <w:vAlign w:val="center"/>
          </w:tcPr>
          <w:p>
            <w:r>
              <w:rPr>
                <w:rFonts w:ascii="Arial" w:hAnsi="Arial"/>
                <w:sz w:val="18"/>
              </w:rPr>
              <w:t>Albers &amp; Fenneker Rechtsanwälte, Frau Rechtsanwältin Meike Albers</w:t>
            </w:r>
          </w:p>
        </w:tc>
      </w:tr>
      <w:tr>
        <w:tc>
          <w:tcPr>
            <w:tcW w:type="dxa" w:w="2041"/>
            <w:shd w:fill="E9EEF2"/>
            <w:tcMar>
              <w:top w:w="90" w:type="dxa"/>
              <w:left w:w="90" w:type="dxa"/>
              <w:bottom w:w="90" w:type="dxa"/>
              <w:right w:w="90" w:type="dxa"/>
            </w:tcMar>
            <w:vAlign w:val="center"/>
          </w:tcPr>
          <w:p>
            <w:r>
              <w:rPr>
                <w:rFonts w:ascii="Arial" w:hAnsi="Arial"/>
                <w:b/>
                <w:sz w:val="18"/>
              </w:rPr>
              <w:t>Ihr Zeichen</w:t>
            </w:r>
          </w:p>
        </w:tc>
        <w:tc>
          <w:tcPr>
            <w:tcW w:type="dxa" w:w="6973"/>
            <w:tcMar>
              <w:top w:w="90" w:type="dxa"/>
              <w:left w:w="90" w:type="dxa"/>
              <w:bottom w:w="90" w:type="dxa"/>
              <w:right w:w="90" w:type="dxa"/>
            </w:tcMar>
            <w:vAlign w:val="center"/>
          </w:tcPr>
          <w:p>
            <w:r>
              <w:rPr>
                <w:rFonts w:ascii="Arial" w:hAnsi="Arial"/>
                <w:sz w:val="18"/>
              </w:rPr>
              <w:t>26-0618-A</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BL-P-2026/117</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10. Juni 2026</w:t>
            </w:r>
          </w:p>
        </w:tc>
      </w:tr>
    </w:tbl>
    <w:p>
      <w:pPr>
        <w:spacing w:after="20"/>
      </w:pPr>
    </w:p>
    <w:p>
      <w:pPr>
        <w:pStyle w:val="Title"/>
      </w:pPr>
      <w:r>
        <w:t>Zwischenzeugnis Frau Wiebke Hagedorn</w:t>
      </w:r>
    </w:p>
    <w:p>
      <w:r>
        <w:t>Sehr geehrte Frau Rechtsanwältin Albers,</w:t>
      </w:r>
    </w:p>
    <w:p>
      <w:r>
        <w:t>wir nehmen Bezug auf Ihr Schreiben vom 5. Juni 2026. Das Zwischenzeugnis wurde wegen der Rückkehr von Frau Hagedorn aus der Elternzeit erstellt. Die Tätigkeitsbeschreibung beruht auf den Angaben des Filialleiters und der bei der Personalabteilung hinterlegten Funktionsbeschreibung aus dem Jahr 2020.</w:t>
      </w:r>
    </w:p>
    <w:p>
      <w:r>
        <w:t>Die im ersten Entwurf aufgeführten Aufgaben zur Schichteinteilung und Ausbildung wurden nach interner Rückfrage gekürzt, weil Frau Hagedorn diese Funktionen während ihrer Elternzeit nicht ausübte und die künftige Organisation der Filiale noch nicht feststand. Ob diese zeitliche Betrachtung für ein Zwischenzeugnis sachgerecht ist, werden wir nochmals prüfen. Die Reklamationsbefugnis bis 250 Euro ist in der Änderungsvereinbarung dokumentiert.</w:t>
      </w:r>
    </w:p>
    <w:p>
      <w:r>
        <w:t>Die Leistungsformel wurde aus dem Personalprogramm übernommen. Uns liegen die Jahresgesprächsbögen 2022 und 2023 vor. Die Kassenkorrespondenz vom Februar 2024 befindet sich nicht in der Personalakte; nach Auskunft der Buchhaltung wurde die Differenz durch eine doppelte Kartenzahlung erklärt. Frau Hagedorn erhielt hierzu keine Abmahnung.</w:t>
      </w:r>
    </w:p>
    <w:p>
      <w:r>
        <w:t>Wir sind bereit, Aufgabenbeschreibung, Verhaltensformel und Unterzeichnung nach Vorlage Ihres konkreten Vorschlags erneut abzustimmen. Bitte übersenden Sie diesen bis zum 17. Juni 2026. Bis dahin wird die Personalabteilung ohne schriftliche Einwilligung von Frau Hagedorn keine Referenzauskunft an Dritte erteilen.</w:t>
      </w:r>
    </w:p>
    <w:p>
      <w:r>
        <w:t>Mit freundlichen Grüßen</w:t>
      </w:r>
    </w:p>
    <w:p>
      <w:r>
        <w:t>Lennart Voß</w:t>
        <w:br/>
        <w:t>Geschäftsführer</w:t>
        <w:br/>
        <w:t>Gartenbau Blühendes Leben GmbH</w:t>
      </w:r>
    </w:p>
    <w:p>
      <w:r>
        <w:t>Anlagen: Zwischenzeugnis vom 29. Mai 2026; Funktionsbeschreibung vom 1. März 2020; Jahresgesprächsbögen 2022 und 2023</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GARTENBAU BLÜHENDES LEBEN GMBH · BL-P-2026/117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09-gegenschreiben-oder-behoerde</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