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556"/>
        <w:gridCol w:w="3515"/>
      </w:tblGrid>
      <w:tr>
        <w:tc>
          <w:tcPr>
            <w:tcW w:type="dxa" w:w="5556"/>
            <w:vAlign w:val="center"/>
            <w:tcMar>
              <w:top w:w="70" w:type="dxa"/>
              <w:left w:w="70" w:type="dxa"/>
              <w:bottom w:w="70" w:type="dxa"/>
              <w:right w:w="70" w:type="dxa"/>
            </w:tcMar>
          </w:tcPr>
          <w:p>
            <w:pPr>
              <w:spacing w:after="0"/>
            </w:pPr>
            <w:r>
              <w:rPr>
                <w:rFonts w:ascii="Arial" w:hAnsi="Arial"/>
                <w:b/>
                <w:color w:val="24364B"/>
                <w:sz w:val="30"/>
              </w:rPr>
              <w:t>ALBERS &amp; FENNEKER RECHTSANWÄLTE</w:t>
            </w:r>
          </w:p>
        </w:tc>
        <w:tc>
          <w:tcPr>
            <w:tcW w:type="dxa" w:w="3515"/>
            <w:vAlign w:val="center"/>
            <w:tcMar>
              <w:top w:w="70" w:type="dxa"/>
              <w:left w:w="70" w:type="dxa"/>
              <w:bottom w:w="70" w:type="dxa"/>
              <w:right w:w="70" w:type="dxa"/>
            </w:tcMar>
          </w:tcPr>
          <w:p>
            <w:pPr>
              <w:spacing w:after="0"/>
              <w:jc w:val="right"/>
            </w:pPr>
            <w:r>
              <w:rPr>
                <w:rFonts w:ascii="Arial" w:hAnsi="Arial"/>
                <w:sz w:val="16"/>
              </w:rPr>
              <w:t>Prinzipalmarkt 14 · 48143 Münster</w:t>
              <w:br/>
              <w:t>Telefon 0251 480 91-0</w:t>
              <w:br/>
              <w:t>kanzlei@albers-fenneker.example.invalid</w:t>
            </w:r>
          </w:p>
        </w:tc>
      </w:tr>
    </w:tbl>
    <w:p>
      <w:pPr>
        <w:spacing w:after="40"/>
      </w:pPr>
    </w:p>
    <w:tbl>
      <w:tblPr>
        <w:tblW w:type="auto" w:w="0"/>
        <w:jc w:val="left"/>
        <w:tblLayout w:type="fixed"/>
        <w:tblLook w:firstColumn="1" w:firstRow="1" w:lastColumn="0" w:lastRow="0" w:noHBand="0" w:noVBand="1" w:val="04A0"/>
      </w:tblPr>
      <w:tblGrid>
        <w:gridCol w:w="2041"/>
        <w:gridCol w:w="6973"/>
      </w:tblGrid>
      <w:tr>
        <w:tc>
          <w:tcPr>
            <w:tcW w:type="dxa" w:w="2041"/>
            <w:shd w:fill="E9EEF2"/>
            <w:tcMar>
              <w:top w:w="90" w:type="dxa"/>
              <w:left w:w="90" w:type="dxa"/>
              <w:bottom w:w="90" w:type="dxa"/>
              <w:right w:w="90" w:type="dxa"/>
            </w:tcMar>
            <w:vAlign w:val="center"/>
          </w:tcPr>
          <w:p>
            <w:r>
              <w:rPr>
                <w:rFonts w:ascii="Arial" w:hAnsi="Arial"/>
                <w:b/>
                <w:sz w:val="18"/>
              </w:rPr>
              <w:t>Mandantin</w:t>
            </w:r>
          </w:p>
        </w:tc>
        <w:tc>
          <w:tcPr>
            <w:tcW w:type="dxa" w:w="6973"/>
            <w:tcMar>
              <w:top w:w="90" w:type="dxa"/>
              <w:left w:w="90" w:type="dxa"/>
              <w:bottom w:w="90" w:type="dxa"/>
              <w:right w:w="90" w:type="dxa"/>
            </w:tcMar>
            <w:vAlign w:val="center"/>
          </w:tcPr>
          <w:p>
            <w:r>
              <w:rPr>
                <w:rFonts w:ascii="Arial" w:hAnsi="Arial"/>
                <w:sz w:val="18"/>
              </w:rPr>
              <w:t>Wiebke Hagedorn, Rosenweg 18, 48157 Münster</w:t>
            </w:r>
          </w:p>
        </w:tc>
      </w:tr>
      <w:tr>
        <w:tc>
          <w:tcPr>
            <w:tcW w:type="dxa" w:w="2041"/>
            <w:shd w:fill="E9EEF2"/>
            <w:tcMar>
              <w:top w:w="90" w:type="dxa"/>
              <w:left w:w="90" w:type="dxa"/>
              <w:bottom w:w="90" w:type="dxa"/>
              <w:right w:w="90" w:type="dxa"/>
            </w:tcMar>
            <w:vAlign w:val="center"/>
          </w:tcPr>
          <w:p>
            <w:r>
              <w:rPr>
                <w:rFonts w:ascii="Arial" w:hAnsi="Arial"/>
                <w:b/>
                <w:sz w:val="18"/>
              </w:rPr>
              <w:t>Gegenseite</w:t>
            </w:r>
          </w:p>
        </w:tc>
        <w:tc>
          <w:tcPr>
            <w:tcW w:type="dxa" w:w="6973"/>
            <w:tcMar>
              <w:top w:w="90" w:type="dxa"/>
              <w:left w:w="90" w:type="dxa"/>
              <w:bottom w:w="90" w:type="dxa"/>
              <w:right w:w="90" w:type="dxa"/>
            </w:tcMar>
            <w:vAlign w:val="center"/>
          </w:tcPr>
          <w:p>
            <w:r>
              <w:rPr>
                <w:rFonts w:ascii="Arial" w:hAnsi="Arial"/>
                <w:sz w:val="18"/>
              </w:rPr>
              <w:t>Gartenbau Blühendes Leben GmbH, Wolbecker Straße 418, 48157 Münster</w:t>
            </w:r>
          </w:p>
        </w:tc>
      </w:tr>
      <w:tr>
        <w:tc>
          <w:tcPr>
            <w:tcW w:type="dxa" w:w="2041"/>
            <w:shd w:fill="E9EEF2"/>
            <w:tcMar>
              <w:top w:w="90" w:type="dxa"/>
              <w:left w:w="90" w:type="dxa"/>
              <w:bottom w:w="90" w:type="dxa"/>
              <w:right w:w="90" w:type="dxa"/>
            </w:tcMar>
            <w:vAlign w:val="center"/>
          </w:tcPr>
          <w:p>
            <w:r>
              <w:rPr>
                <w:rFonts w:ascii="Arial" w:hAnsi="Arial"/>
                <w:b/>
                <w:sz w:val="18"/>
              </w:rPr>
              <w:t>Unser Zeichen</w:t>
            </w:r>
          </w:p>
        </w:tc>
        <w:tc>
          <w:tcPr>
            <w:tcW w:type="dxa" w:w="6973"/>
            <w:tcMar>
              <w:top w:w="90" w:type="dxa"/>
              <w:left w:w="90" w:type="dxa"/>
              <w:bottom w:w="90" w:type="dxa"/>
              <w:right w:w="90" w:type="dxa"/>
            </w:tcMar>
            <w:vAlign w:val="center"/>
          </w:tcPr>
          <w:p>
            <w:r>
              <w:rPr>
                <w:rFonts w:ascii="Arial" w:hAnsi="Arial"/>
                <w:sz w:val="18"/>
              </w:rPr>
              <w:t>26-0618-A / gh</w:t>
            </w:r>
          </w:p>
        </w:tc>
      </w:tr>
      <w:tr>
        <w:tc>
          <w:tcPr>
            <w:tcW w:type="dxa" w:w="2041"/>
            <w:shd w:fill="E9EEF2"/>
            <w:tcMar>
              <w:top w:w="90" w:type="dxa"/>
              <w:left w:w="90" w:type="dxa"/>
              <w:bottom w:w="90" w:type="dxa"/>
              <w:right w:w="90" w:type="dxa"/>
            </w:tcMar>
            <w:vAlign w:val="center"/>
          </w:tcPr>
          <w:p>
            <w:r>
              <w:rPr>
                <w:rFonts w:ascii="Arial" w:hAnsi="Arial"/>
                <w:b/>
                <w:sz w:val="18"/>
              </w:rPr>
              <w:t>Termin</w:t>
            </w:r>
          </w:p>
        </w:tc>
        <w:tc>
          <w:tcPr>
            <w:tcW w:type="dxa" w:w="6973"/>
            <w:tcMar>
              <w:top w:w="90" w:type="dxa"/>
              <w:left w:w="90" w:type="dxa"/>
              <w:bottom w:w="90" w:type="dxa"/>
              <w:right w:w="90" w:type="dxa"/>
            </w:tcMar>
            <w:vAlign w:val="center"/>
          </w:tcPr>
          <w:p>
            <w:r>
              <w:rPr>
                <w:rFonts w:ascii="Arial" w:hAnsi="Arial"/>
                <w:sz w:val="18"/>
              </w:rPr>
              <w:t>9. Juni 2026, 15:30 bis 16:25 Uhr</w:t>
            </w:r>
          </w:p>
        </w:tc>
      </w:tr>
      <w:tr>
        <w:tc>
          <w:tcPr>
            <w:tcW w:type="dxa" w:w="2041"/>
            <w:shd w:fill="E9EEF2"/>
            <w:tcMar>
              <w:top w:w="90" w:type="dxa"/>
              <w:left w:w="90" w:type="dxa"/>
              <w:bottom w:w="90" w:type="dxa"/>
              <w:right w:w="90" w:type="dxa"/>
            </w:tcMar>
            <w:vAlign w:val="center"/>
          </w:tcPr>
          <w:p>
            <w:r>
              <w:rPr>
                <w:rFonts w:ascii="Arial" w:hAnsi="Arial"/>
                <w:b/>
                <w:sz w:val="18"/>
              </w:rPr>
              <w:t>Ort</w:t>
            </w:r>
          </w:p>
        </w:tc>
        <w:tc>
          <w:tcPr>
            <w:tcW w:type="dxa" w:w="6973"/>
            <w:tcMar>
              <w:top w:w="90" w:type="dxa"/>
              <w:left w:w="90" w:type="dxa"/>
              <w:bottom w:w="90" w:type="dxa"/>
              <w:right w:w="90" w:type="dxa"/>
            </w:tcMar>
            <w:vAlign w:val="center"/>
          </w:tcPr>
          <w:p>
            <w:r>
              <w:rPr>
                <w:rFonts w:ascii="Arial" w:hAnsi="Arial"/>
                <w:sz w:val="18"/>
              </w:rPr>
              <w:t>Besprechungszimmer 2</w:t>
            </w:r>
          </w:p>
        </w:tc>
      </w:tr>
    </w:tbl>
    <w:p>
      <w:pPr>
        <w:spacing w:after="20"/>
      </w:pPr>
    </w:p>
    <w:p>
      <w:pPr>
        <w:pStyle w:val="Title"/>
      </w:pPr>
      <w:r>
        <w:t>Besprechungsprotokoll</w:t>
      </w:r>
    </w:p>
    <w:p>
      <w:pPr>
        <w:pStyle w:val="Heading1"/>
      </w:pPr>
      <w:r>
        <w:t>1. Teilnehmer und Unterlagen</w:t>
      </w:r>
    </w:p>
    <w:p>
      <w:r>
        <w:t>Teilgenommen haben Wiebke Hagedorn, Rechtsanwältin Meike Albers und Rechtsanwaltsfachangestellte Maren Gieseking. Auf dem Tisch lagen der Scan des Zwischenzeugnisses, die Jahresgesprächsbögen, die Änderungsvereinbarung 2020 und der E-Mail-Ausdruck zur Referenzanfrage.</w:t>
      </w:r>
    </w:p>
    <w:p>
      <w:pPr>
        <w:pStyle w:val="Heading1"/>
      </w:pPr>
      <w:r>
        <w:t>2. Angaben der Mandantin</w:t>
      </w:r>
    </w:p>
    <w:p>
      <w:r>
        <w:t>Frau Hagedorn schilderte die Aufgabenverteilung vor der Elternzeit anhand einer typischen Frühschicht. Sie öffnete die Filiale, teilte vier Beschäftigte ein, kontrollierte Kasse und Pflanzenlieferung, wies die Auszubildende ein und entschied kleinere Reklamationen. Der Filialleiter war dienstags regelmäßig nicht vor Ort. Diese Abläufe könnten die Kolleginnen Merle Jansen und Özlem Tekin aus eigener Wahrnehmung bestätigen.</w:t>
      </w:r>
    </w:p>
    <w:p>
      <w:r>
        <w:t>Zur Kassendifferenz erklärte die Mandantin, sie habe am Abend des 12. Februar sofort die Buchhaltung angerufen. Am folgenden Morgen habe Buchhalterin Elke Brandt die doppelte Kartenzahlung gefunden. Ein Vorwurf gegen die Mandantin sei danach nicht mehr erhoben worden. Die Bezeichnung „Hagedorn-Kasse“ habe sie erst in der weitergeleiteten Mail gesehen.</w:t>
      </w:r>
    </w:p>
    <w:p>
      <w:pPr>
        <w:pStyle w:val="Heading1"/>
      </w:pPr>
      <w:r>
        <w:t>3. Festlegungen</w:t>
      </w:r>
    </w:p>
    <w:p>
      <w:r>
        <w:t>Die Kanzlei erstellt eine Synopse aus Tätigkeit, Zeugnistext und Belegen. Frau Hagedorn fordert bei der Personalabteilung die Originaldatei und die aktuelle Stellenbeschreibung an. Die Referenzanfrage bleibt bis zur Abstimmung unbeantwortet; bei erneutem Anruf verweist Frau Hagedorn auf die noch laufende Zeugnisprüfung.</w:t>
      </w:r>
    </w:p>
    <w:p>
      <w:r>
        <w:t>Ein Vergleichsentwurf oder eine gerichtliche Einleitung wurde nicht freigegeben. Zunächst soll der konkrete Neufassungsvorschlag bis 11. Juni erstellt und mit der Mandantin telefonisch abgestimmt werden.</w:t>
      </w:r>
    </w:p>
    <w:p>
      <w:r>
        <w:t>Protokolliert: Maren Gieseking, 9. Juni 2026, 17:12 Uhr</w:t>
      </w:r>
    </w:p>
    <w:sectPr w:rsidR="00FC693F" w:rsidRPr="0006063C" w:rsidSect="00034616">
      <w:footerReference w:type="default" r:id="rId9"/>
      <w:pgSz w:w="11906" w:h="16838"/>
      <w:pgMar w:top="96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ALBERS &amp; FENNEKER RECHTSANWÄLTE · 26-0618-A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85A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4364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11-besprechungsprotokoll</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