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Selbstbehalt beim Elternunterhalt</w:t>
      </w:r>
    </w:p>
    <w:p>
      <w:pPr>
        <w:pStyle w:val="Heading2"/>
      </w:pPr>
      <w:r>
        <w:rPr>
          <w:rFonts w:ascii="Times New Roman" w:hAnsi="Times New Roman"/>
        </w:rPr>
        <w:t>1 Grundsatz</w:t>
      </w:r>
    </w:p>
    <w:p>
      <w:pPr>
        <w:jc w:val="left"/>
      </w:pPr>
      <w:r>
        <w:t>Auch wenn ein Kind die Einkommensgrenze überschreitet und dem Grunde nach haftet, schuldet es Unterhalt nur, soweit es leistungsfähig ist, also nur aus dem Einkommen, das einen ihm zu belassenden Selbstbehalt übersteigt. Beim Elternunterhalt ist der Selbstbehalt deutlich höher angesetzt als beim Kindes- oder Ehegattenunterhalt, weil dem Kind eine eigene angemessene Lebensführung und Altersvorsorge erhalten bleiben soll.</w:t>
      </w:r>
    </w:p>
    <w:p>
      <w:pPr>
        <w:pStyle w:val="Heading2"/>
      </w:pPr>
      <w:r>
        <w:rPr>
          <w:rFonts w:ascii="Times New Roman" w:hAnsi="Times New Roman"/>
        </w:rPr>
        <w:t>2 Höhe des Selbstbehalts als Arbeitswert</w:t>
      </w:r>
    </w:p>
    <w:p>
      <w:pPr>
        <w:jc w:val="left"/>
      </w:pPr>
      <w:r>
        <w:t>Der angemessene Selbstbehalt gegenüber unterhaltsberechtigten Eltern wird in der Praxis mit einem Sockelbetrag angesetzt, der für den Pflichtigen selbst in der Größenordnung von rund 2.650 EUR und für einen mit ihm zusammenlebenden Ehegatten zusätzlich in der Größenordnung von rund 2.150 EUR liegt; der Familienselbstbehalt der Eheleute zusammen wird entsprechend mit rund 4.800 EUR angesetzt. Diese Werte sind als Arbeitswert und vorläufiger Stand zu behandeln und vor abschließender Verwendung an amtlicher Quelle zu verifizieren. Sie sind nicht amtlich-final.</w:t>
      </w:r>
    </w:p>
    <w:p>
      <w:pPr>
        <w:pStyle w:val="Heading2"/>
      </w:pPr>
      <w:r>
        <w:rPr>
          <w:rFonts w:ascii="Times New Roman" w:hAnsi="Times New Roman"/>
        </w:rPr>
        <w:t>3 Behandlung des die Grenze überschreitenden Falls</w:t>
      </w:r>
    </w:p>
    <w:p>
      <w:pPr>
        <w:jc w:val="left"/>
      </w:pPr>
      <w:r>
        <w:t>Beim Elternunterhalt nach Inkrafttreten des Angehörigen-Entlastungsgesetzes wird zum Teil vertreten, dass es eines gesonderten Familienselbstbehalts nicht mehr bedürfe, weil schon die Einkommensgrenze von 100.000 EUR die wirtschaftlich schwächeren Kinder ausnimmt und der einzusetzende Anteil ohnehin gering ausfällt. Wie der Selbstbehalt bei einem Kind oberhalb der Grenze konkret zu bemessen ist und ob neben der Grenze noch ein eigenständiger Selbstbehalt anzusetzen ist, ist nicht abschließend geklärt und vor Verwendung an amtlicher Quelle zu verifizieren.</w:t>
      </w:r>
    </w:p>
    <w:p>
      <w:pPr>
        <w:pStyle w:val="Heading2"/>
      </w:pPr>
      <w:r>
        <w:rPr>
          <w:rFonts w:ascii="Times New Roman" w:hAnsi="Times New Roman"/>
        </w:rPr>
        <w:t>4 Anwendung auf den Mandanten</w:t>
      </w:r>
    </w:p>
    <w:p>
      <w:pPr>
        <w:jc w:val="left"/>
      </w:pPr>
      <w:r>
        <w:t>Der Mandant lebt mit seiner teilzeitbeschäftigten Ehefrau und zwei minderjährigen Kindern in einem Haushalt. Sein bereinigtes Einkommen ist um die vorrangigen Unterhaltspflichten gegenüber Ehefrau und Kindern zu vermindern, bevor ein Selbstbehalt für den Elternunterhalt geprüft wird; dazu Aktenstück 10. Erst der Betrag, der nach Abzug aller vorrangigen Belastungen und des erhöhten Selbstbehalts verbleibt, steht für den Elternunterhalt zur Verfügung, und davon ist regelmäßig nur ein Teil einzusetzen.</w:t>
      </w:r>
    </w:p>
    <w:p>
      <w:pPr>
        <w:pStyle w:val="Heading2"/>
      </w:pPr>
      <w:r>
        <w:rPr>
          <w:rFonts w:ascii="Times New Roman" w:hAnsi="Times New Roman"/>
        </w:rPr>
        <w:t>5 Quellen und Belege</w:t>
      </w:r>
    </w:p>
    <w:p>
      <w:pPr>
        <w:jc w:val="left"/>
      </w:pPr>
      <w:r>
        <w:t>Quellenpflicht nach references/zitierweise.md. Die genannten Selbstbehaltssätze sind Arbeitswerte und vor Verwendung an amtlicher Quelle zu verifizieren. Normbezug: Paragrafen 1603, 1609 BGB. Etwaige unterhaltsrechtliche Leitlinien und Rechtsprechung sind vor Verwendung an amtlicher Quelle zu verifizieren.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