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Frühere Schenkungen der Mutter und Rückforderung nach Paragraf 528 BGB</w:t>
      </w:r>
    </w:p>
    <w:p>
      <w:pPr>
        <w:pStyle w:val="Heading2"/>
      </w:pPr>
      <w:r>
        <w:rPr>
          <w:rFonts w:ascii="Times New Roman" w:hAnsi="Times New Roman"/>
        </w:rPr>
        <w:t>1 Sachverhalt der Zuwendung</w:t>
      </w:r>
    </w:p>
    <w:p>
      <w:pPr>
        <w:jc w:val="left"/>
      </w:pPr>
      <w:r>
        <w:t>Hildegard Reinhold hat am 14.07.2021 ihrer Enkelin Frieda Reinhold, der Tochter des Mandanten, einen Geldbetrag von 30.000 EUR geschenkt. Der Betrag wurde als Grundstock für die spätere Ausbildung der Enkelin auf ein Sparkonto eingezahlt. Eine notarielle Beurkundung erfolgte nicht; die Zuwendung wurde durch Überweisung vollzogen. Daneben hat die Mutter dem Mandanten im Jahr 2018 einen Gebrauchtwagen im damaligen Wert von rund 8.000 EUR überlassen.</w:t>
      </w:r>
    </w:p>
    <w:p>
      <w:pPr>
        <w:pStyle w:val="Heading2"/>
      </w:pPr>
      <w:r>
        <w:rPr>
          <w:rFonts w:ascii="Times New Roman" w:hAnsi="Times New Roman"/>
        </w:rPr>
        <w:t>2 Rückforderung wegen Verarmung des Schenkers</w:t>
      </w:r>
    </w:p>
    <w:p>
      <w:pPr>
        <w:jc w:val="left"/>
      </w:pPr>
      <w:r>
        <w:t>Nach Paragraf 528 BGB kann der Schenker die Herausgabe des Geschenks nach den Vorschriften über die Herausgabe einer ungerechtfertigten Bereicherung verlangen, soweit er nach Vollziehung der Schenkung außerstande ist, seinen angemessenen Unterhalt zu bestreiten. Dieser Rückforderungsanspruch kann auf den Sozialhilfeträger übergehen, wenn dieser für den verarmten Schenker Leistungen erbringt. Der Anspruch besteht nicht, wenn seit der Leistung des geschenkten Gegenstandes zehn Jahre verstrichen sind oder wenn der Schenker durch die Rückforderung den eigenen angemessenen Unterhalt gefährden würde.</w:t>
      </w:r>
    </w:p>
    <w:p>
      <w:pPr>
        <w:pStyle w:val="Heading2"/>
      </w:pPr>
      <w:r>
        <w:rPr>
          <w:rFonts w:ascii="Times New Roman" w:hAnsi="Times New Roman"/>
        </w:rPr>
        <w:t>3 Bewertung der Zuwendungen</w:t>
      </w:r>
    </w:p>
    <w:p>
      <w:pPr>
        <w:jc w:val="left"/>
      </w:pPr>
      <w:r>
        <w:t>3.1 Die Geldschenkung von 2021 liegt innerhalb der Zehnjahresfrist. Sie kommt als Gegenstand eines auf das Sozialamt übergegangenen Rückforderungsanspruchs in Betracht, soweit die Mutter ohne sie ihren Heimbedarf hätte decken können. Da die Schenkung an die Enkelin erfolgte, richtete sich ein Rückforderungsverlangen gegen diese, nicht unmittelbar gegen den Mandanten; gleichwohl betrifft es das Familienvermögen und ist in die Strategie einzubeziehen.</w:t>
      </w:r>
    </w:p>
    <w:p>
      <w:pPr>
        <w:jc w:val="left"/>
      </w:pPr>
      <w:r>
        <w:t>3.2 Die Überlassung des Gebrauchtwagens 2018 liegt vor mehr als zehn Jahren noch nicht, ist aber von geringem Wert und dürfte zudem als Anstandsschenkung oder als verbrauchte Zuwendung kaum durchsetzbar sein.</w:t>
      </w:r>
    </w:p>
    <w:p>
      <w:pPr>
        <w:pStyle w:val="Heading2"/>
      </w:pPr>
      <w:r>
        <w:rPr>
          <w:rFonts w:ascii="Times New Roman" w:hAnsi="Times New Roman"/>
        </w:rPr>
        <w:t>4 Verhältnis zum Unterhaltsregress</w:t>
      </w:r>
    </w:p>
    <w:p>
      <w:pPr>
        <w:jc w:val="left"/>
      </w:pPr>
      <w:r>
        <w:t>Der Schenkungsrückforderungsanspruch nach Paragraf 528 BGB steht neben dem Unterhaltsanspruch. Das Sozialamt kann grundsätzlich beide Wege prüfen. Für den Mandanten ist bedeutsam, dass eine erfolgreiche Rückforderung der Geldschenkung den ungedeckten Bedarf der Mutter und damit das Volumen des Unterhaltsregresses verringern würde.</w:t>
      </w:r>
    </w:p>
    <w:p>
      <w:pPr>
        <w:pStyle w:val="Heading2"/>
      </w:pPr>
      <w:r>
        <w:rPr>
          <w:rFonts w:ascii="Times New Roman" w:hAnsi="Times New Roman"/>
        </w:rPr>
        <w:t>5 Offene Punkte</w:t>
      </w:r>
    </w:p>
    <w:p>
      <w:pPr>
        <w:jc w:val="left"/>
      </w:pPr>
      <w:r>
        <w:t>Zu klären ist, ob das geschenkte Geld noch vorhanden ist, ob die Enkelin sich auf Entreicherung berufen kann und ob die Mutter die Zuwendung im Sozialhilfeantrag angegeben hat. Die einschlägige Rechtsprechung zur Reichweite des Anspruchs und zur sogenannten verschärften Haftung ist vor Verwendung an amtlicher Quelle zu verifizieren.</w:t>
      </w:r>
    </w:p>
    <w:p>
      <w:pPr>
        <w:pStyle w:val="Heading2"/>
      </w:pPr>
      <w:r>
        <w:rPr>
          <w:rFonts w:ascii="Times New Roman" w:hAnsi="Times New Roman"/>
        </w:rPr>
        <w:t>6 Quellen und Belege</w:t>
      </w:r>
    </w:p>
    <w:p>
      <w:pPr>
        <w:jc w:val="left"/>
      </w:pPr>
      <w:r>
        <w:t>Quellenpflicht nach references/zitierweise.md. Grundlage sind die Angaben des Mandanten und der Kontonachweis über die Überweisung vom 14.07.2021. Normbezug: Paragraf 528 BGB, Paragraf 529 BGB, Paragraf 93 SGB XII.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